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FE7" w:rsidRDefault="00C9052C">
      <w:r>
        <w:t>Dhufish diet</w:t>
      </w:r>
    </w:p>
    <w:p w:rsidR="00C9052C" w:rsidRDefault="00C9052C" w:rsidP="00C905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Molluscs, in total, constituted approximately 5% of the dietary volume. </w:t>
      </w:r>
      <w:proofErr w:type="gramStart"/>
      <w:r>
        <w:rPr>
          <w:rFonts w:ascii="Times-Roman" w:hAnsi="Times-Roman" w:cs="Times-Roman"/>
          <w:sz w:val="21"/>
          <w:szCs w:val="21"/>
        </w:rPr>
        <w:t>the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mollusc component of the diet of</w:t>
      </w:r>
    </w:p>
    <w:p w:rsidR="00C9052C" w:rsidRDefault="00C9052C" w:rsidP="00C905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Italic" w:hAnsi="Times-Italic" w:cs="Times-Italic"/>
          <w:i/>
          <w:iCs/>
          <w:sz w:val="21"/>
          <w:szCs w:val="21"/>
        </w:rPr>
        <w:t xml:space="preserve">G. </w:t>
      </w: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hebraicum</w:t>
      </w:r>
      <w:proofErr w:type="spellEnd"/>
      <w:r>
        <w:rPr>
          <w:rFonts w:ascii="Times-Italic" w:hAnsi="Times-Italic" w:cs="Times-Italic"/>
          <w:i/>
          <w:iCs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>consisted almost entirely of cephalopods. In terms of both their volumetric contributions and frequency of</w:t>
      </w:r>
    </w:p>
    <w:p w:rsidR="00C9052C" w:rsidRDefault="00C9052C" w:rsidP="00C905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occurrence</w:t>
      </w:r>
      <w:proofErr w:type="gramEnd"/>
      <w:r>
        <w:rPr>
          <w:rFonts w:ascii="Times-Roman" w:hAnsi="Times-Roman" w:cs="Times-Roman"/>
          <w:sz w:val="21"/>
          <w:szCs w:val="21"/>
        </w:rPr>
        <w:t>, crustaceans (comprising mainly isopods, amphipods and decapods) and</w:t>
      </w:r>
    </w:p>
    <w:p w:rsidR="00C9052C" w:rsidRDefault="00C9052C" w:rsidP="00C905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teleosts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were by far the most important components of the diet of </w:t>
      </w:r>
      <w:r>
        <w:rPr>
          <w:rFonts w:ascii="Times-Italic" w:hAnsi="Times-Italic" w:cs="Times-Italic"/>
          <w:i/>
          <w:iCs/>
          <w:sz w:val="21"/>
          <w:szCs w:val="21"/>
        </w:rPr>
        <w:t xml:space="preserve">G. </w:t>
      </w: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hebraicum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. The </w:t>
      </w:r>
      <w:proofErr w:type="spellStart"/>
      <w:r>
        <w:rPr>
          <w:rFonts w:ascii="Times-Roman" w:hAnsi="Times-Roman" w:cs="Times-Roman"/>
          <w:sz w:val="21"/>
          <w:szCs w:val="21"/>
        </w:rPr>
        <w:t>Pempherididae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was the most important of the</w:t>
      </w:r>
    </w:p>
    <w:p w:rsidR="00C9052C" w:rsidRDefault="00C9052C" w:rsidP="00C9052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numerous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identifiable </w:t>
      </w:r>
      <w:proofErr w:type="spellStart"/>
      <w:r>
        <w:rPr>
          <w:rFonts w:ascii="Times-Roman" w:hAnsi="Times-Roman" w:cs="Times-Roman"/>
          <w:sz w:val="21"/>
          <w:szCs w:val="21"/>
        </w:rPr>
        <w:t>teleost</w:t>
      </w:r>
      <w:proofErr w:type="spellEnd"/>
      <w:r>
        <w:rPr>
          <w:rFonts w:ascii="Times-Roman" w:hAnsi="Times-Roman" w:cs="Times-Roman"/>
          <w:sz w:val="21"/>
          <w:szCs w:val="21"/>
        </w:rPr>
        <w:t xml:space="preserve"> families ingested by both </w:t>
      </w:r>
      <w:r>
        <w:rPr>
          <w:rFonts w:ascii="Times-Italic" w:hAnsi="Times-Italic" w:cs="Times-Italic"/>
          <w:i/>
          <w:iCs/>
          <w:sz w:val="21"/>
          <w:szCs w:val="21"/>
        </w:rPr>
        <w:t xml:space="preserve">G. </w:t>
      </w: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hebraicum</w:t>
      </w:r>
      <w:proofErr w:type="spellEnd"/>
      <w:r>
        <w:rPr>
          <w:rFonts w:ascii="Times-Italic" w:hAnsi="Times-Italic" w:cs="Times-Italic"/>
          <w:i/>
          <w:iCs/>
          <w:sz w:val="21"/>
          <w:szCs w:val="21"/>
        </w:rPr>
        <w:t xml:space="preserve"> </w:t>
      </w:r>
      <w:r>
        <w:rPr>
          <w:rFonts w:ascii="Times-Roman" w:hAnsi="Times-Roman" w:cs="Times-Roman"/>
          <w:sz w:val="21"/>
          <w:szCs w:val="21"/>
        </w:rPr>
        <w:t xml:space="preserve">and </w:t>
      </w:r>
      <w:r>
        <w:rPr>
          <w:rFonts w:ascii="Times-Italic" w:hAnsi="Times-Italic" w:cs="Times-Italic"/>
          <w:i/>
          <w:iCs/>
          <w:sz w:val="21"/>
          <w:szCs w:val="21"/>
        </w:rPr>
        <w:t xml:space="preserve">E. </w:t>
      </w:r>
      <w:proofErr w:type="spellStart"/>
      <w:r>
        <w:rPr>
          <w:rFonts w:ascii="Times-Italic" w:hAnsi="Times-Italic" w:cs="Times-Italic"/>
          <w:i/>
          <w:iCs/>
          <w:sz w:val="21"/>
          <w:szCs w:val="21"/>
        </w:rPr>
        <w:t>armatus</w:t>
      </w:r>
      <w:proofErr w:type="spellEnd"/>
      <w:r>
        <w:rPr>
          <w:rFonts w:ascii="Times-Italic" w:hAnsi="Times-Italic" w:cs="Times-Italic"/>
          <w:i/>
          <w:iCs/>
          <w:sz w:val="21"/>
          <w:szCs w:val="21"/>
        </w:rPr>
        <w:t xml:space="preserve">. </w:t>
      </w:r>
      <w:proofErr w:type="gramStart"/>
      <w:r>
        <w:rPr>
          <w:rFonts w:ascii="Times-Roman" w:hAnsi="Times-Roman" w:cs="Times-Roman"/>
          <w:sz w:val="21"/>
          <w:szCs w:val="21"/>
        </w:rPr>
        <w:t>the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volumetric contributions of small crustaceans to its</w:t>
      </w:r>
    </w:p>
    <w:p w:rsidR="00C9052C" w:rsidRDefault="00C9052C" w:rsidP="00C9052C">
      <w:pPr>
        <w:rPr>
          <w:rFonts w:ascii="Times-Roman" w:hAnsi="Times-Roman" w:cs="Times-Roman"/>
          <w:sz w:val="21"/>
          <w:szCs w:val="21"/>
        </w:rPr>
      </w:pPr>
      <w:proofErr w:type="gramStart"/>
      <w:r>
        <w:rPr>
          <w:rFonts w:ascii="Times-Roman" w:hAnsi="Times-Roman" w:cs="Times-Roman"/>
          <w:sz w:val="21"/>
          <w:szCs w:val="21"/>
        </w:rPr>
        <w:t>diet</w:t>
      </w:r>
      <w:proofErr w:type="gramEnd"/>
      <w:r>
        <w:rPr>
          <w:rFonts w:ascii="Times-Roman" w:hAnsi="Times-Roman" w:cs="Times-Roman"/>
          <w:sz w:val="21"/>
          <w:szCs w:val="21"/>
        </w:rPr>
        <w:t xml:space="preserve"> declined with increasing body size, whereas that of teleosts increased.</w:t>
      </w:r>
    </w:p>
    <w:p w:rsidR="00C9052C" w:rsidRDefault="00C9052C" w:rsidP="00C9052C">
      <w:pPr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noProof/>
          <w:sz w:val="21"/>
          <w:szCs w:val="21"/>
          <w:lang w:eastAsia="en-AU"/>
        </w:rPr>
        <w:drawing>
          <wp:inline distT="0" distB="0" distL="0" distR="0">
            <wp:extent cx="5731510" cy="35794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2C" w:rsidRDefault="00C9052C" w:rsidP="00C9052C">
      <w:pPr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 xml:space="preserve">                          &gt;99mm   100-199   200-299   300-399   400-499    500-</w:t>
      </w:r>
      <w:proofErr w:type="gramStart"/>
      <w:r>
        <w:rPr>
          <w:rFonts w:ascii="Times-Roman" w:hAnsi="Times-Roman" w:cs="Times-Roman"/>
          <w:sz w:val="21"/>
          <w:szCs w:val="21"/>
        </w:rPr>
        <w:t>599  600</w:t>
      </w:r>
      <w:proofErr w:type="gramEnd"/>
      <w:r>
        <w:rPr>
          <w:rFonts w:ascii="Times-Roman" w:hAnsi="Times-Roman" w:cs="Times-Roman"/>
          <w:sz w:val="21"/>
          <w:szCs w:val="21"/>
        </w:rPr>
        <w:t>-699  700-799     800-899</w:t>
      </w:r>
    </w:p>
    <w:p w:rsidR="00C9052C" w:rsidRDefault="00C9052C" w:rsidP="00C9052C">
      <w:pPr>
        <w:rPr>
          <w:rFonts w:ascii="Times-Roman" w:hAnsi="Times-Roman" w:cs="Times-Roman"/>
          <w:sz w:val="21"/>
          <w:szCs w:val="21"/>
        </w:rPr>
      </w:pPr>
      <w:r w:rsidRPr="00C9052C">
        <w:rPr>
          <w:rFonts w:ascii="Times-Roman" w:hAnsi="Times-Roman" w:cs="Times-Roman"/>
          <w:noProof/>
          <w:sz w:val="21"/>
          <w:szCs w:val="21"/>
          <w:lang w:eastAsia="en-AU"/>
        </w:rPr>
        <w:drawing>
          <wp:inline distT="0" distB="0" distL="0" distR="0">
            <wp:extent cx="5731510" cy="1395906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5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2C" w:rsidRDefault="00C9052C" w:rsidP="005C70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5C70DC">
        <w:rPr>
          <w:rFonts w:ascii="Times New Roman" w:hAnsi="Times New Roman" w:cs="Times New Roman"/>
          <w:sz w:val="24"/>
          <w:szCs w:val="24"/>
        </w:rPr>
        <w:t xml:space="preserve">Diet of juvenile </w:t>
      </w:r>
      <w:r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G. </w:t>
      </w:r>
      <w:proofErr w:type="spellStart"/>
      <w:r w:rsidRPr="005C70DC">
        <w:rPr>
          <w:rFonts w:ascii="Times New Roman" w:hAnsi="Times New Roman" w:cs="Times New Roman"/>
          <w:i/>
          <w:iCs/>
          <w:sz w:val="24"/>
          <w:szCs w:val="24"/>
        </w:rPr>
        <w:t>hebraicum</w:t>
      </w:r>
      <w:proofErr w:type="spellEnd"/>
      <w:r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70DC">
        <w:rPr>
          <w:rFonts w:ascii="Times New Roman" w:hAnsi="Times New Roman" w:cs="Times New Roman"/>
          <w:sz w:val="24"/>
          <w:szCs w:val="24"/>
        </w:rPr>
        <w:t>over hard substrata was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Pr="005C70DC">
        <w:rPr>
          <w:rFonts w:ascii="Times New Roman" w:hAnsi="Times New Roman" w:cs="Times New Roman"/>
          <w:sz w:val="24"/>
          <w:szCs w:val="24"/>
        </w:rPr>
        <w:t>distinguished from that of this species over reefs later in life by the presence of greater volumes of small crustaceans and decapods and smaller volumes of teleosts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Pr="005C70DC">
        <w:rPr>
          <w:rFonts w:ascii="Times New Roman" w:hAnsi="Times New Roman" w:cs="Times New Roman"/>
          <w:sz w:val="24"/>
          <w:szCs w:val="24"/>
        </w:rPr>
        <w:t>and cephalopods</w:t>
      </w:r>
      <w:proofErr w:type="gramStart"/>
      <w:r w:rsidRPr="005C70DC">
        <w:rPr>
          <w:rFonts w:ascii="Times New Roman" w:hAnsi="Times New Roman" w:cs="Times New Roman"/>
          <w:sz w:val="24"/>
          <w:szCs w:val="24"/>
        </w:rPr>
        <w:t>.</w:t>
      </w:r>
      <w:r w:rsidR="00190534" w:rsidRPr="005C70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90534" w:rsidRPr="005C70DC">
        <w:rPr>
          <w:rFonts w:ascii="Times New Roman" w:hAnsi="Times New Roman" w:cs="Times New Roman"/>
          <w:sz w:val="24"/>
          <w:szCs w:val="24"/>
        </w:rPr>
        <w:t xml:space="preserve"> Molluscs and echinoderms were consumed in only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moderate or small amounts by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G. </w:t>
      </w:r>
      <w:proofErr w:type="spellStart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hebraicum</w:t>
      </w:r>
      <w:proofErr w:type="spellEnd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="00190534" w:rsidRPr="005C70DC">
        <w:rPr>
          <w:rFonts w:ascii="Times New Roman" w:hAnsi="Times New Roman" w:cs="Times New Roman"/>
          <w:sz w:val="24"/>
          <w:szCs w:val="24"/>
        </w:rPr>
        <w:t>Cephalopods was</w:t>
      </w:r>
      <w:proofErr w:type="gramEnd"/>
      <w:r w:rsidR="00190534" w:rsidRPr="005C70DC">
        <w:rPr>
          <w:rFonts w:ascii="Times New Roman" w:hAnsi="Times New Roman" w:cs="Times New Roman"/>
          <w:sz w:val="24"/>
          <w:szCs w:val="24"/>
        </w:rPr>
        <w:t xml:space="preserve"> essentially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the only mollusc group represented in the diet of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G. </w:t>
      </w:r>
      <w:proofErr w:type="spellStart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hebraicum</w:t>
      </w:r>
      <w:proofErr w:type="spellEnd"/>
      <w:r w:rsidR="00190534" w:rsidRPr="005C70DC">
        <w:rPr>
          <w:rFonts w:ascii="Times New Roman" w:hAnsi="Times New Roman" w:cs="Times New Roman"/>
          <w:sz w:val="24"/>
          <w:szCs w:val="24"/>
        </w:rPr>
        <w:t>. Crustaceans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>made an important contribution to the diet of each of the three species, with decapods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>prominent in the diets of all three species and small crustaceans well represented in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the diet of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B. </w:t>
      </w:r>
      <w:proofErr w:type="spellStart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frenchii</w:t>
      </w:r>
      <w:proofErr w:type="spellEnd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and </w:t>
      </w:r>
      <w:r w:rsidR="00190534" w:rsidRPr="005C70DC">
        <w:rPr>
          <w:rFonts w:ascii="Times New Roman" w:hAnsi="Times New Roman" w:cs="Times New Roman"/>
          <w:sz w:val="24"/>
          <w:szCs w:val="24"/>
        </w:rPr>
        <w:lastRenderedPageBreak/>
        <w:t xml:space="preserve">especially of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G. </w:t>
      </w:r>
      <w:proofErr w:type="spellStart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hebraicum</w:t>
      </w:r>
      <w:proofErr w:type="spellEnd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but not of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E. </w:t>
      </w:r>
      <w:proofErr w:type="spellStart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armatus</w:t>
      </w:r>
      <w:proofErr w:type="spellEnd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The main </w:t>
      </w:r>
      <w:proofErr w:type="spellStart"/>
      <w:r w:rsidR="00190534" w:rsidRPr="005C70DC">
        <w:rPr>
          <w:rFonts w:ascii="Times New Roman" w:hAnsi="Times New Roman" w:cs="Times New Roman"/>
          <w:sz w:val="24"/>
          <w:szCs w:val="24"/>
        </w:rPr>
        <w:t>teleost</w:t>
      </w:r>
      <w:proofErr w:type="spellEnd"/>
      <w:r w:rsidR="00190534" w:rsidRPr="005C70DC">
        <w:rPr>
          <w:rFonts w:ascii="Times New Roman" w:hAnsi="Times New Roman" w:cs="Times New Roman"/>
          <w:sz w:val="24"/>
          <w:szCs w:val="24"/>
        </w:rPr>
        <w:t xml:space="preserve"> prey of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G. </w:t>
      </w:r>
      <w:proofErr w:type="spellStart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hebraicum</w:t>
      </w:r>
      <w:proofErr w:type="spellEnd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and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E. </w:t>
      </w:r>
      <w:proofErr w:type="spellStart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armatus</w:t>
      </w:r>
      <w:proofErr w:type="spellEnd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comprised </w:t>
      </w:r>
      <w:proofErr w:type="spellStart"/>
      <w:r w:rsidR="00190534" w:rsidRPr="005C70DC">
        <w:rPr>
          <w:rFonts w:ascii="Times New Roman" w:hAnsi="Times New Roman" w:cs="Times New Roman"/>
          <w:sz w:val="24"/>
          <w:szCs w:val="24"/>
        </w:rPr>
        <w:t>pempherids</w:t>
      </w:r>
      <w:proofErr w:type="spellEnd"/>
      <w:r w:rsidR="00190534" w:rsidRPr="005C70DC">
        <w:rPr>
          <w:rFonts w:ascii="Times New Roman" w:hAnsi="Times New Roman" w:cs="Times New Roman"/>
          <w:sz w:val="24"/>
          <w:szCs w:val="24"/>
        </w:rPr>
        <w:t>,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a family of small species that is abundant over reefs in Australia. The diet of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G. </w:t>
      </w:r>
      <w:proofErr w:type="spellStart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hebraicum</w:t>
      </w:r>
      <w:proofErr w:type="spellEnd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>thus undergoes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>a very pronounced change when this species moves from its nursery area to the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habitat that it occupies for the rest of its long life,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i.e. </w:t>
      </w:r>
      <w:r w:rsidR="00190534" w:rsidRPr="005C70DC">
        <w:rPr>
          <w:rFonts w:ascii="Times New Roman" w:hAnsi="Times New Roman" w:cs="Times New Roman"/>
          <w:sz w:val="24"/>
          <w:szCs w:val="24"/>
        </w:rPr>
        <w:t>up to 41 years (</w:t>
      </w:r>
      <w:proofErr w:type="spellStart"/>
      <w:r w:rsidR="00190534" w:rsidRPr="005C70DC">
        <w:rPr>
          <w:rFonts w:ascii="Times New Roman" w:hAnsi="Times New Roman" w:cs="Times New Roman"/>
          <w:sz w:val="24"/>
          <w:szCs w:val="24"/>
        </w:rPr>
        <w:t>Hesp</w:t>
      </w:r>
      <w:proofErr w:type="spellEnd"/>
      <w:r w:rsidR="00190534" w:rsidRP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et al</w:t>
      </w:r>
      <w:r w:rsidR="00190534" w:rsidRPr="005C70DC">
        <w:rPr>
          <w:rFonts w:ascii="Times New Roman" w:hAnsi="Times New Roman" w:cs="Times New Roman"/>
          <w:sz w:val="24"/>
          <w:szCs w:val="24"/>
        </w:rPr>
        <w:t>.,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2002). </w:t>
      </w:r>
      <w:proofErr w:type="gramStart"/>
      <w:r w:rsidR="00190534" w:rsidRPr="005C70DC">
        <w:rPr>
          <w:rFonts w:ascii="Times New Roman" w:hAnsi="Times New Roman" w:cs="Times New Roman"/>
          <w:sz w:val="24"/>
          <w:szCs w:val="24"/>
        </w:rPr>
        <w:t xml:space="preserve">Once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G. </w:t>
      </w:r>
      <w:proofErr w:type="spellStart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hebraicum</w:t>
      </w:r>
      <w:proofErr w:type="spellEnd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>moves to that habitat,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>its diet changes only slightly, reflecting the fact that, for much of adult life, teleosts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>are by far the most important component of its diet.</w:t>
      </w:r>
      <w:proofErr w:type="gramEnd"/>
      <w:r w:rsidR="00190534" w:rsidRP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G. </w:t>
      </w:r>
      <w:proofErr w:type="spellStart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hebraicum</w:t>
      </w:r>
      <w:proofErr w:type="spellEnd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>might target less active teleosts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 xml:space="preserve">than </w:t>
      </w:r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E. </w:t>
      </w:r>
      <w:proofErr w:type="spellStart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>armatus</w:t>
      </w:r>
      <w:proofErr w:type="spellEnd"/>
      <w:r w:rsidR="00190534" w:rsidRPr="005C70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90534" w:rsidRPr="005C70DC">
        <w:rPr>
          <w:rFonts w:ascii="Times New Roman" w:hAnsi="Times New Roman" w:cs="Times New Roman"/>
          <w:sz w:val="24"/>
          <w:szCs w:val="24"/>
        </w:rPr>
        <w:t>are consistent with the fact that only the former species ingests</w:t>
      </w:r>
      <w:r w:rsidR="005C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0534" w:rsidRPr="005C70DC">
        <w:rPr>
          <w:rFonts w:ascii="Times New Roman" w:hAnsi="Times New Roman" w:cs="Times New Roman"/>
          <w:sz w:val="24"/>
          <w:szCs w:val="24"/>
        </w:rPr>
        <w:t>monacanthids</w:t>
      </w:r>
      <w:proofErr w:type="spellEnd"/>
      <w:r w:rsidR="00190534" w:rsidRPr="005C70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0534" w:rsidRPr="005C70DC">
        <w:rPr>
          <w:rFonts w:ascii="Times New Roman" w:hAnsi="Times New Roman" w:cs="Times New Roman"/>
          <w:sz w:val="24"/>
          <w:szCs w:val="24"/>
        </w:rPr>
        <w:t>ophichthids</w:t>
      </w:r>
      <w:proofErr w:type="spellEnd"/>
      <w:r w:rsidR="00190534" w:rsidRPr="005C70D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90534" w:rsidRPr="005C70DC">
        <w:rPr>
          <w:rFonts w:ascii="Times New Roman" w:hAnsi="Times New Roman" w:cs="Times New Roman"/>
          <w:sz w:val="24"/>
          <w:szCs w:val="24"/>
        </w:rPr>
        <w:t>ostraciids</w:t>
      </w:r>
      <w:proofErr w:type="spellEnd"/>
      <w:r w:rsidR="00190534" w:rsidRPr="005C70DC">
        <w:rPr>
          <w:rFonts w:ascii="Times New Roman" w:hAnsi="Times New Roman" w:cs="Times New Roman"/>
          <w:sz w:val="24"/>
          <w:szCs w:val="24"/>
        </w:rPr>
        <w:t>.</w:t>
      </w:r>
      <w:r w:rsidR="00190534">
        <w:rPr>
          <w:rFonts w:ascii="Times-Roman" w:hAnsi="Times-Roman" w:cs="Times-Roman"/>
          <w:sz w:val="21"/>
          <w:szCs w:val="21"/>
        </w:rPr>
        <w:tab/>
      </w:r>
    </w:p>
    <w:p w:rsidR="00190534" w:rsidRDefault="00190534" w:rsidP="00C9052C">
      <w:pPr>
        <w:rPr>
          <w:rFonts w:ascii="Times-Roman" w:hAnsi="Times-Roman" w:cs="Times-Roman"/>
          <w:sz w:val="21"/>
          <w:szCs w:val="21"/>
        </w:rPr>
      </w:pPr>
      <w:r w:rsidRPr="00190534">
        <w:rPr>
          <w:rFonts w:ascii="Times-Roman" w:hAnsi="Times-Roman" w:cs="Times-Roman"/>
          <w:noProof/>
          <w:sz w:val="21"/>
          <w:szCs w:val="21"/>
          <w:lang w:eastAsia="en-AU"/>
        </w:rPr>
        <w:drawing>
          <wp:inline distT="0" distB="0" distL="0" distR="0">
            <wp:extent cx="5731510" cy="3473234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2C" w:rsidRDefault="00C9052C" w:rsidP="00C9052C">
      <w:r w:rsidRPr="00C9052C">
        <w:rPr>
          <w:rFonts w:ascii="Times-Roman" w:hAnsi="Times-Roman" w:cs="Times-Roman"/>
          <w:noProof/>
          <w:sz w:val="21"/>
          <w:szCs w:val="21"/>
          <w:lang w:eastAsia="en-AU"/>
        </w:rPr>
        <w:drawing>
          <wp:inline distT="0" distB="0" distL="0" distR="0">
            <wp:extent cx="5448300" cy="7213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21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52C" w:rsidRDefault="00C9052C">
      <w:r w:rsidRPr="00C9052C">
        <w:rPr>
          <w:noProof/>
          <w:lang w:eastAsia="en-AU"/>
        </w:rPr>
        <w:drawing>
          <wp:inline distT="0" distB="0" distL="0" distR="0">
            <wp:extent cx="5524500" cy="7391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E2A">
        <w:rPr>
          <w:rFonts w:ascii="Times New Roman" w:hAnsi="Times New Roman" w:cs="Times New Roman"/>
          <w:sz w:val="24"/>
          <w:szCs w:val="24"/>
        </w:rPr>
        <w:t>dhufish</w:t>
      </w:r>
      <w:proofErr w:type="gramEnd"/>
      <w:r w:rsidRPr="004F1E2A">
        <w:rPr>
          <w:rFonts w:ascii="Times New Roman" w:hAnsi="Times New Roman" w:cs="Times New Roman"/>
          <w:sz w:val="24"/>
          <w:szCs w:val="24"/>
        </w:rPr>
        <w:t xml:space="preserve"> &gt;99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BFF</w:t>
            </w:r>
          </w:p>
        </w:tc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E2A">
        <w:rPr>
          <w:rFonts w:ascii="Times New Roman" w:hAnsi="Times New Roman" w:cs="Times New Roman"/>
          <w:sz w:val="24"/>
          <w:szCs w:val="24"/>
        </w:rPr>
        <w:t>dhufish</w:t>
      </w:r>
      <w:proofErr w:type="gramEnd"/>
      <w:r w:rsidRPr="004F1E2A">
        <w:rPr>
          <w:rFonts w:ascii="Times New Roman" w:hAnsi="Times New Roman" w:cs="Times New Roman"/>
          <w:sz w:val="24"/>
          <w:szCs w:val="24"/>
        </w:rPr>
        <w:t xml:space="preserve"> 100-199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6C238D" w:rsidRDefault="00016374" w:rsidP="006C23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C23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DL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6C238D" w:rsidRDefault="00016374" w:rsidP="006C238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C23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BAC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CEP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4621" w:type="dxa"/>
          </w:tcPr>
          <w:p w:rsidR="00016374" w:rsidRDefault="00016374" w:rsidP="006C238D">
            <w:r w:rsidRPr="009C601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SGR</w:t>
            </w:r>
          </w:p>
        </w:tc>
        <w:tc>
          <w:tcPr>
            <w:tcW w:w="4621" w:type="dxa"/>
          </w:tcPr>
          <w:p w:rsidR="00016374" w:rsidRDefault="00016374" w:rsidP="006C238D">
            <w:r w:rsidRPr="009C601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BG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238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BFF</w:t>
            </w:r>
          </w:p>
        </w:tc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E2A">
        <w:rPr>
          <w:rFonts w:ascii="Times New Roman" w:hAnsi="Times New Roman" w:cs="Times New Roman"/>
          <w:sz w:val="24"/>
          <w:szCs w:val="24"/>
        </w:rPr>
        <w:t>dhufish</w:t>
      </w:r>
      <w:proofErr w:type="gramEnd"/>
      <w:r w:rsidRPr="004F1E2A">
        <w:rPr>
          <w:rFonts w:ascii="Times New Roman" w:hAnsi="Times New Roman" w:cs="Times New Roman"/>
          <w:sz w:val="24"/>
          <w:szCs w:val="24"/>
        </w:rPr>
        <w:t xml:space="preserve"> 200-299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BD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COR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4621" w:type="dxa"/>
          </w:tcPr>
          <w:p w:rsidR="00016374" w:rsidRDefault="00016374" w:rsidP="006C238D">
            <w:r w:rsidRPr="009C601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SGR</w:t>
            </w:r>
          </w:p>
        </w:tc>
        <w:tc>
          <w:tcPr>
            <w:tcW w:w="4621" w:type="dxa"/>
          </w:tcPr>
          <w:p w:rsidR="00016374" w:rsidRDefault="00016374" w:rsidP="006C238D">
            <w:r w:rsidRPr="009C601F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016374" w:rsidRPr="009C601F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ZME</w:t>
            </w:r>
          </w:p>
        </w:tc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BFF</w:t>
            </w:r>
          </w:p>
        </w:tc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E2A">
        <w:rPr>
          <w:rFonts w:ascii="Times New Roman" w:hAnsi="Times New Roman" w:cs="Times New Roman"/>
          <w:sz w:val="24"/>
          <w:szCs w:val="24"/>
        </w:rPr>
        <w:t>dhufish</w:t>
      </w:r>
      <w:proofErr w:type="gramEnd"/>
      <w:r w:rsidRPr="004F1E2A">
        <w:rPr>
          <w:rFonts w:ascii="Times New Roman" w:hAnsi="Times New Roman" w:cs="Times New Roman"/>
          <w:sz w:val="24"/>
          <w:szCs w:val="24"/>
        </w:rPr>
        <w:t xml:space="preserve"> 300-399 mm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FPK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FDC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FDO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FMA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FSP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E2A">
        <w:rPr>
          <w:rFonts w:ascii="Times New Roman" w:hAnsi="Times New Roman" w:cs="Times New Roman"/>
          <w:sz w:val="24"/>
          <w:szCs w:val="24"/>
        </w:rPr>
        <w:t>dhufish</w:t>
      </w:r>
      <w:proofErr w:type="gramEnd"/>
      <w:r w:rsidRPr="004F1E2A">
        <w:rPr>
          <w:rFonts w:ascii="Times New Roman" w:hAnsi="Times New Roman" w:cs="Times New Roman"/>
          <w:sz w:val="24"/>
          <w:szCs w:val="24"/>
        </w:rPr>
        <w:t xml:space="preserve"> 400-499 mm</w:t>
      </w:r>
      <w:r w:rsidR="00E3497D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FPK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FDC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FDO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FMA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FSP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E2A">
        <w:rPr>
          <w:rFonts w:ascii="Times New Roman" w:hAnsi="Times New Roman" w:cs="Times New Roman"/>
          <w:sz w:val="24"/>
          <w:szCs w:val="24"/>
        </w:rPr>
        <w:t>dhufish</w:t>
      </w:r>
      <w:proofErr w:type="gramEnd"/>
      <w:r w:rsidRPr="004F1E2A">
        <w:rPr>
          <w:rFonts w:ascii="Times New Roman" w:hAnsi="Times New Roman" w:cs="Times New Roman"/>
          <w:sz w:val="24"/>
          <w:szCs w:val="24"/>
        </w:rPr>
        <w:t xml:space="preserve"> 500-599 mm</w:t>
      </w:r>
      <w:r w:rsidR="00E3497D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FPK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FDC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FDO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FMA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FSP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4621" w:type="dxa"/>
          </w:tcPr>
          <w:p w:rsidR="00016374" w:rsidRDefault="00016374" w:rsidP="006C238D">
            <w:r w:rsidRPr="001676B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016374" w:rsidRDefault="00016374" w:rsidP="006C238D">
            <w:r w:rsidRPr="001676B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</w:tbl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E2A">
        <w:rPr>
          <w:rFonts w:ascii="Times New Roman" w:hAnsi="Times New Roman" w:cs="Times New Roman"/>
          <w:sz w:val="24"/>
          <w:szCs w:val="24"/>
        </w:rPr>
        <w:t>dhufish</w:t>
      </w:r>
      <w:proofErr w:type="gramEnd"/>
      <w:r w:rsidRPr="004F1E2A">
        <w:rPr>
          <w:rFonts w:ascii="Times New Roman" w:hAnsi="Times New Roman" w:cs="Times New Roman"/>
          <w:sz w:val="24"/>
          <w:szCs w:val="24"/>
        </w:rPr>
        <w:t xml:space="preserve"> 600-699 mm</w:t>
      </w:r>
      <w:r w:rsidR="00E3497D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FPK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FDC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FDO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FMA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FSP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4621" w:type="dxa"/>
          </w:tcPr>
          <w:p w:rsidR="00016374" w:rsidRDefault="00016374" w:rsidP="006C238D">
            <w:r w:rsidRPr="001676B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016374" w:rsidRDefault="00016374" w:rsidP="006C238D">
            <w:r w:rsidRPr="001676B6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4621" w:type="dxa"/>
          </w:tcPr>
          <w:p w:rsidR="00016374" w:rsidRPr="001676B6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SGR</w:t>
            </w:r>
          </w:p>
        </w:tc>
        <w:tc>
          <w:tcPr>
            <w:tcW w:w="4621" w:type="dxa"/>
          </w:tcPr>
          <w:p w:rsidR="00016374" w:rsidRPr="001676B6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E2A">
        <w:rPr>
          <w:rFonts w:ascii="Times New Roman" w:hAnsi="Times New Roman" w:cs="Times New Roman"/>
          <w:sz w:val="24"/>
          <w:szCs w:val="24"/>
        </w:rPr>
        <w:t>dhufish</w:t>
      </w:r>
      <w:proofErr w:type="gramEnd"/>
      <w:r w:rsidRPr="004F1E2A">
        <w:rPr>
          <w:rFonts w:ascii="Times New Roman" w:hAnsi="Times New Roman" w:cs="Times New Roman"/>
          <w:sz w:val="24"/>
          <w:szCs w:val="24"/>
        </w:rPr>
        <w:t xml:space="preserve"> 700-799 mm</w:t>
      </w:r>
      <w:r w:rsidR="00E3497D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FPK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FDC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FDO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FMA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FSP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F1E2A">
        <w:rPr>
          <w:rFonts w:ascii="Times New Roman" w:hAnsi="Times New Roman" w:cs="Times New Roman"/>
          <w:sz w:val="24"/>
          <w:szCs w:val="24"/>
        </w:rPr>
        <w:t>dhufish</w:t>
      </w:r>
      <w:proofErr w:type="gramEnd"/>
      <w:r w:rsidRPr="004F1E2A">
        <w:rPr>
          <w:rFonts w:ascii="Times New Roman" w:hAnsi="Times New Roman" w:cs="Times New Roman"/>
          <w:sz w:val="24"/>
          <w:szCs w:val="24"/>
        </w:rPr>
        <w:t xml:space="preserve"> 800-899 mm</w:t>
      </w:r>
      <w:r w:rsidR="00E3497D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FDT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sz w:val="24"/>
                <w:szCs w:val="24"/>
              </w:rPr>
              <w:t>FSR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FPK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FDC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FDO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FMA</w:t>
            </w:r>
          </w:p>
        </w:tc>
        <w:tc>
          <w:tcPr>
            <w:tcW w:w="4621" w:type="dxa"/>
          </w:tcPr>
          <w:p w:rsidR="00016374" w:rsidRDefault="00016374" w:rsidP="006C238D">
            <w:r w:rsidRPr="00FD597D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FSP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</w:t>
            </w:r>
          </w:p>
        </w:tc>
        <w:tc>
          <w:tcPr>
            <w:tcW w:w="4621" w:type="dxa"/>
          </w:tcPr>
          <w:p w:rsidR="00016374" w:rsidRDefault="00016374" w:rsidP="006C238D">
            <w:r w:rsidRPr="003F7C27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BG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MAZ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CEP</w:t>
            </w:r>
          </w:p>
        </w:tc>
        <w:tc>
          <w:tcPr>
            <w:tcW w:w="4621" w:type="dxa"/>
          </w:tcPr>
          <w:p w:rsidR="00016374" w:rsidRPr="003F7C27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4621" w:type="dxa"/>
          </w:tcPr>
          <w:p w:rsidR="00016374" w:rsidRPr="001676B6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016374" w:rsidRPr="004F1E2A" w:rsidTr="006C238D">
        <w:tc>
          <w:tcPr>
            <w:tcW w:w="4621" w:type="dxa"/>
          </w:tcPr>
          <w:p w:rsidR="00016374" w:rsidRPr="004F1E2A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SGR</w:t>
            </w:r>
          </w:p>
        </w:tc>
        <w:tc>
          <w:tcPr>
            <w:tcW w:w="4621" w:type="dxa"/>
          </w:tcPr>
          <w:p w:rsidR="00016374" w:rsidRPr="001676B6" w:rsidRDefault="00016374" w:rsidP="006C23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</w:tbl>
    <w:p w:rsidR="00016374" w:rsidRPr="004F1E2A" w:rsidRDefault="00016374" w:rsidP="00016374">
      <w:pPr>
        <w:rPr>
          <w:rFonts w:ascii="Times New Roman" w:hAnsi="Times New Roman" w:cs="Times New Roman"/>
          <w:sz w:val="24"/>
          <w:szCs w:val="24"/>
        </w:rPr>
      </w:pPr>
    </w:p>
    <w:p w:rsidR="00016374" w:rsidRDefault="00016374"/>
    <w:p w:rsidR="00C9052C" w:rsidRDefault="00C9052C">
      <w:r>
        <w:t>Reference:</w:t>
      </w:r>
    </w:p>
    <w:p w:rsidR="00C9052C" w:rsidRPr="0002741F" w:rsidRDefault="00374AD6" w:rsidP="00C9052C">
      <w:pPr>
        <w:pStyle w:val="Heading1"/>
        <w:shd w:val="clear" w:color="auto" w:fill="FFFFFF"/>
        <w:rPr>
          <w:b w:val="0"/>
          <w:sz w:val="24"/>
          <w:szCs w:val="24"/>
        </w:rPr>
      </w:pPr>
      <w:hyperlink r:id="rId9" w:history="1">
        <w:proofErr w:type="spellStart"/>
        <w:r w:rsidR="00C9052C" w:rsidRPr="0002741F">
          <w:rPr>
            <w:b w:val="0"/>
            <w:sz w:val="24"/>
            <w:szCs w:val="24"/>
            <w:u w:val="single"/>
          </w:rPr>
          <w:t>Platell</w:t>
        </w:r>
        <w:proofErr w:type="spellEnd"/>
        <w:r w:rsidR="00C9052C" w:rsidRPr="0002741F">
          <w:rPr>
            <w:b w:val="0"/>
            <w:sz w:val="24"/>
            <w:szCs w:val="24"/>
            <w:u w:val="single"/>
          </w:rPr>
          <w:t xml:space="preserve"> ME</w:t>
        </w:r>
      </w:hyperlink>
      <w:r w:rsidR="00C9052C" w:rsidRPr="0002741F">
        <w:rPr>
          <w:b w:val="0"/>
          <w:sz w:val="24"/>
          <w:szCs w:val="24"/>
        </w:rPr>
        <w:t xml:space="preserve">, </w:t>
      </w:r>
      <w:hyperlink r:id="rId10" w:history="1">
        <w:proofErr w:type="spellStart"/>
        <w:r w:rsidR="00C9052C" w:rsidRPr="0002741F">
          <w:rPr>
            <w:b w:val="0"/>
            <w:sz w:val="24"/>
            <w:szCs w:val="24"/>
            <w:u w:val="single"/>
          </w:rPr>
          <w:t>Hesp</w:t>
        </w:r>
        <w:proofErr w:type="spellEnd"/>
        <w:r w:rsidR="00C9052C" w:rsidRPr="0002741F">
          <w:rPr>
            <w:b w:val="0"/>
            <w:sz w:val="24"/>
            <w:szCs w:val="24"/>
            <w:u w:val="single"/>
          </w:rPr>
          <w:t xml:space="preserve"> SA</w:t>
        </w:r>
      </w:hyperlink>
      <w:r w:rsidR="00C9052C" w:rsidRPr="0002741F">
        <w:rPr>
          <w:b w:val="0"/>
          <w:sz w:val="24"/>
          <w:szCs w:val="24"/>
        </w:rPr>
        <w:t xml:space="preserve">, </w:t>
      </w:r>
      <w:hyperlink r:id="rId11" w:history="1">
        <w:proofErr w:type="spellStart"/>
        <w:r w:rsidR="00C9052C" w:rsidRPr="0002741F">
          <w:rPr>
            <w:b w:val="0"/>
            <w:sz w:val="24"/>
            <w:szCs w:val="24"/>
            <w:u w:val="single"/>
          </w:rPr>
          <w:t>Cossington</w:t>
        </w:r>
        <w:proofErr w:type="spellEnd"/>
        <w:r w:rsidR="00C9052C" w:rsidRPr="0002741F">
          <w:rPr>
            <w:b w:val="0"/>
            <w:sz w:val="24"/>
            <w:szCs w:val="24"/>
            <w:u w:val="single"/>
          </w:rPr>
          <w:t xml:space="preserve"> SM</w:t>
        </w:r>
      </w:hyperlink>
      <w:r w:rsidR="00C9052C" w:rsidRPr="0002741F">
        <w:rPr>
          <w:b w:val="0"/>
          <w:sz w:val="24"/>
          <w:szCs w:val="24"/>
        </w:rPr>
        <w:t xml:space="preserve">, </w:t>
      </w:r>
      <w:hyperlink r:id="rId12" w:history="1">
        <w:proofErr w:type="spellStart"/>
        <w:r w:rsidR="00C9052C" w:rsidRPr="0002741F">
          <w:rPr>
            <w:b w:val="0"/>
            <w:sz w:val="24"/>
            <w:szCs w:val="24"/>
            <w:u w:val="single"/>
          </w:rPr>
          <w:t>Lek</w:t>
        </w:r>
        <w:proofErr w:type="spellEnd"/>
        <w:r w:rsidR="00C9052C" w:rsidRPr="0002741F">
          <w:rPr>
            <w:b w:val="0"/>
            <w:sz w:val="24"/>
            <w:szCs w:val="24"/>
            <w:u w:val="single"/>
          </w:rPr>
          <w:t xml:space="preserve"> E</w:t>
        </w:r>
      </w:hyperlink>
      <w:r w:rsidR="00C9052C" w:rsidRPr="0002741F">
        <w:rPr>
          <w:b w:val="0"/>
          <w:sz w:val="24"/>
          <w:szCs w:val="24"/>
        </w:rPr>
        <w:t xml:space="preserve">, </w:t>
      </w:r>
      <w:hyperlink r:id="rId13" w:history="1">
        <w:r w:rsidR="00C9052C" w:rsidRPr="0002741F">
          <w:rPr>
            <w:b w:val="0"/>
            <w:sz w:val="24"/>
            <w:szCs w:val="24"/>
            <w:u w:val="single"/>
          </w:rPr>
          <w:t>Moore SE</w:t>
        </w:r>
      </w:hyperlink>
      <w:r w:rsidR="00C9052C" w:rsidRPr="0002741F">
        <w:rPr>
          <w:b w:val="0"/>
          <w:sz w:val="24"/>
          <w:szCs w:val="24"/>
        </w:rPr>
        <w:t xml:space="preserve">, </w:t>
      </w:r>
      <w:hyperlink r:id="rId14" w:history="1">
        <w:r w:rsidR="00C9052C" w:rsidRPr="0002741F">
          <w:rPr>
            <w:b w:val="0"/>
            <w:sz w:val="24"/>
            <w:szCs w:val="24"/>
            <w:u w:val="single"/>
          </w:rPr>
          <w:t>Potter IC</w:t>
        </w:r>
      </w:hyperlink>
      <w:r w:rsidR="00C9052C" w:rsidRPr="0002741F">
        <w:rPr>
          <w:b w:val="0"/>
          <w:sz w:val="24"/>
          <w:szCs w:val="24"/>
        </w:rPr>
        <w:t xml:space="preserve">.2010. Influence of selected factors on the dietary compositions of three targeted and co-occurring temperate species of reef fishes: implications for food partitioning. </w:t>
      </w:r>
      <w:hyperlink r:id="rId15" w:tooltip="Journal of fish biology." w:history="1">
        <w:r w:rsidR="00C9052C" w:rsidRPr="0002741F">
          <w:rPr>
            <w:b w:val="0"/>
            <w:sz w:val="24"/>
            <w:szCs w:val="24"/>
            <w:u w:val="single"/>
          </w:rPr>
          <w:t>J Fish Biol.</w:t>
        </w:r>
      </w:hyperlink>
      <w:r w:rsidR="00C9052C" w:rsidRPr="0002741F">
        <w:rPr>
          <w:b w:val="0"/>
          <w:sz w:val="24"/>
          <w:szCs w:val="24"/>
        </w:rPr>
        <w:t xml:space="preserve"> 76(6):1255-76</w:t>
      </w:r>
    </w:p>
    <w:p w:rsidR="00C9052C" w:rsidRDefault="00C9052C"/>
    <w:sectPr w:rsidR="00C9052C" w:rsidSect="00634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9052C"/>
    <w:rsid w:val="00016374"/>
    <w:rsid w:val="00163992"/>
    <w:rsid w:val="00190534"/>
    <w:rsid w:val="00374AD6"/>
    <w:rsid w:val="005C70DC"/>
    <w:rsid w:val="00634FE7"/>
    <w:rsid w:val="006C238D"/>
    <w:rsid w:val="00C9052C"/>
    <w:rsid w:val="00E3497D"/>
    <w:rsid w:val="00F61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FE7"/>
  </w:style>
  <w:style w:type="paragraph" w:styleId="Heading1">
    <w:name w:val="heading 1"/>
    <w:basedOn w:val="Normal"/>
    <w:link w:val="Heading1Char"/>
    <w:uiPriority w:val="9"/>
    <w:qFormat/>
    <w:rsid w:val="00C90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52C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5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6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ncbi.nlm.nih.gov/pubmed?term=Moore%20SE%5BAuthor%5D&amp;cauthor=true&amp;cauthor_uid=20537013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4.xml"/><Relationship Id="rId7" Type="http://schemas.openxmlformats.org/officeDocument/2006/relationships/image" Target="media/image4.png"/><Relationship Id="rId12" Type="http://schemas.openxmlformats.org/officeDocument/2006/relationships/hyperlink" Target="http://www.ncbi.nlm.nih.gov/pubmed?term=Lek%20E%5BAuthor%5D&amp;cauthor=true&amp;cauthor_uid=2053701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ncbi.nlm.nih.gov/pubmed?term=Cossington%20SM%5BAuthor%5D&amp;cauthor=true&amp;cauthor_uid=20537013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ncbi.nlm.nih.gov/pubmed/20537013" TargetMode="External"/><Relationship Id="rId10" Type="http://schemas.openxmlformats.org/officeDocument/2006/relationships/hyperlink" Target="http://www.ncbi.nlm.nih.gov/pubmed?term=Hesp%20SA%5BAuthor%5D&amp;cauthor=true&amp;cauthor_uid=20537013" TargetMode="External"/><Relationship Id="rId19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hyperlink" Target="http://www.ncbi.nlm.nih.gov/pubmed?term=Platell%20ME%5BAuthor%5D&amp;cauthor=true&amp;cauthor_uid=20537013" TargetMode="External"/><Relationship Id="rId14" Type="http://schemas.openxmlformats.org/officeDocument/2006/relationships/hyperlink" Target="http://www.ncbi.nlm.nih.gov/pubmed?term=Potter%20IC%5BAuthor%5D&amp;cauthor=true&amp;cauthor_uid=205370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FDRCD752KDN2-1520109182-6395</_dlc_DocId>
    <_dlc_DocIdUrl xmlns="fe7e52a9-06d7-4026-824d-e6bebc46e20b">
      <Url>https://csiroau.sharepoint.com/sites/SICK-EM/_layouts/15/DocIdRedir.aspx?ID=FDRCD752KDN2-1520109182-6395</Url>
      <Description>FDRCD752KDN2-1520109182-6395</Description>
    </_dlc_DocIdUrl>
  </documentManagement>
</p:properties>
</file>

<file path=customXml/itemProps1.xml><?xml version="1.0" encoding="utf-8"?>
<ds:datastoreItem xmlns:ds="http://schemas.openxmlformats.org/officeDocument/2006/customXml" ds:itemID="{F63C461B-2858-4D26-8A5E-CB0E7CC67E74}"/>
</file>

<file path=customXml/itemProps2.xml><?xml version="1.0" encoding="utf-8"?>
<ds:datastoreItem xmlns:ds="http://schemas.openxmlformats.org/officeDocument/2006/customXml" ds:itemID="{090D5651-5871-4938-B849-B5AE609EADD4}"/>
</file>

<file path=customXml/itemProps3.xml><?xml version="1.0" encoding="utf-8"?>
<ds:datastoreItem xmlns:ds="http://schemas.openxmlformats.org/officeDocument/2006/customXml" ds:itemID="{D80AA9C5-EDF1-4150-AF35-E9177D94A244}"/>
</file>

<file path=customXml/itemProps4.xml><?xml version="1.0" encoding="utf-8"?>
<ds:datastoreItem xmlns:ds="http://schemas.openxmlformats.org/officeDocument/2006/customXml" ds:itemID="{E8A2A602-78DA-4455-B60D-6DBAF0A8A1B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2013-11-19T08:31:00Z</dcterms:created>
  <dcterms:modified xsi:type="dcterms:W3CDTF">2013-11-19T08:31:00Z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747d4ddf-b1dd-4071-8c60-7b6120c93831</vt:lpwstr>
  </property>
</Properties>
</file>