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5C" w:rsidRPr="002E683A" w:rsidRDefault="003453A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PKS </w:t>
      </w:r>
      <w:r w:rsidR="002E683A" w:rsidRPr="002E683A">
        <w:rPr>
          <w:rFonts w:ascii="Times New Roman" w:hAnsi="Times New Roman" w:cs="Times New Roman"/>
          <w:sz w:val="24"/>
          <w:szCs w:val="24"/>
        </w:rPr>
        <w:t xml:space="preserve">Pink Snapper </w:t>
      </w:r>
      <w:proofErr w:type="spellStart"/>
      <w:r w:rsidR="002E683A" w:rsidRPr="002E683A">
        <w:rPr>
          <w:rFonts w:ascii="Times New Roman" w:hAnsi="Times New Roman" w:cs="Times New Roman"/>
          <w:i/>
          <w:iCs/>
          <w:sz w:val="24"/>
          <w:szCs w:val="24"/>
        </w:rPr>
        <w:t>Pagrus</w:t>
      </w:r>
      <w:proofErr w:type="spellEnd"/>
      <w:r w:rsidR="002E683A" w:rsidRPr="002E68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E683A" w:rsidRPr="002E683A">
        <w:rPr>
          <w:rFonts w:ascii="Times New Roman" w:hAnsi="Times New Roman" w:cs="Times New Roman"/>
          <w:i/>
          <w:iCs/>
          <w:sz w:val="24"/>
          <w:szCs w:val="24"/>
        </w:rPr>
        <w:t>auratus</w:t>
      </w:r>
      <w:proofErr w:type="spellEnd"/>
    </w:p>
    <w:p w:rsidR="002E683A" w:rsidRDefault="002E683A" w:rsidP="002E6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83A">
        <w:rPr>
          <w:rFonts w:ascii="Times New Roman" w:hAnsi="Times New Roman" w:cs="Times New Roman"/>
          <w:sz w:val="24"/>
          <w:szCs w:val="24"/>
        </w:rPr>
        <w:t>sea</w:t>
      </w:r>
      <w:proofErr w:type="gramEnd"/>
      <w:r w:rsidRPr="002E683A">
        <w:rPr>
          <w:rFonts w:ascii="Times New Roman" w:hAnsi="Times New Roman" w:cs="Times New Roman"/>
          <w:sz w:val="24"/>
          <w:szCs w:val="24"/>
        </w:rPr>
        <w:t xml:space="preserve"> bream family (</w:t>
      </w:r>
      <w:proofErr w:type="spellStart"/>
      <w:r w:rsidRPr="002E683A">
        <w:rPr>
          <w:rFonts w:ascii="Times New Roman" w:hAnsi="Times New Roman" w:cs="Times New Roman"/>
          <w:sz w:val="24"/>
          <w:szCs w:val="24"/>
        </w:rPr>
        <w:t>Sparidae</w:t>
      </w:r>
      <w:proofErr w:type="spellEnd"/>
      <w:r w:rsidRPr="002E683A">
        <w:rPr>
          <w:rFonts w:ascii="Times New Roman" w:hAnsi="Times New Roman" w:cs="Times New Roman"/>
          <w:sz w:val="24"/>
          <w:szCs w:val="24"/>
        </w:rPr>
        <w:t>) and are related to species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 xml:space="preserve">such as black bream </w:t>
      </w:r>
      <w:r w:rsidRPr="002E683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E683A">
        <w:rPr>
          <w:rFonts w:ascii="Times New Roman" w:hAnsi="Times New Roman" w:cs="Times New Roman"/>
          <w:i/>
          <w:iCs/>
          <w:sz w:val="24"/>
          <w:szCs w:val="24"/>
        </w:rPr>
        <w:t>Acanthopagrus</w:t>
      </w:r>
      <w:proofErr w:type="spellEnd"/>
      <w:r w:rsidRPr="002E68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683A">
        <w:rPr>
          <w:rFonts w:ascii="Times New Roman" w:hAnsi="Times New Roman" w:cs="Times New Roman"/>
          <w:i/>
          <w:iCs/>
          <w:sz w:val="24"/>
          <w:szCs w:val="24"/>
        </w:rPr>
        <w:t>butcheri</w:t>
      </w:r>
      <w:proofErr w:type="spellEnd"/>
      <w:r w:rsidRPr="002E683A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2E683A">
        <w:rPr>
          <w:rFonts w:ascii="Times New Roman" w:hAnsi="Times New Roman" w:cs="Times New Roman"/>
          <w:sz w:val="24"/>
          <w:szCs w:val="24"/>
        </w:rPr>
        <w:t>and tarwhine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 xml:space="preserve">or silver bream </w:t>
      </w:r>
      <w:r w:rsidRPr="002E683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E683A">
        <w:rPr>
          <w:rFonts w:ascii="Times New Roman" w:hAnsi="Times New Roman" w:cs="Times New Roman"/>
          <w:i/>
          <w:iCs/>
          <w:sz w:val="24"/>
          <w:szCs w:val="24"/>
        </w:rPr>
        <w:t>Rhabdosargus</w:t>
      </w:r>
      <w:proofErr w:type="spellEnd"/>
      <w:r w:rsidRPr="002E68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E683A">
        <w:rPr>
          <w:rFonts w:ascii="Times New Roman" w:hAnsi="Times New Roman" w:cs="Times New Roman"/>
          <w:i/>
          <w:iCs/>
          <w:sz w:val="24"/>
          <w:szCs w:val="24"/>
        </w:rPr>
        <w:t>sarba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Pink snapper are ‘</w:t>
      </w:r>
      <w:proofErr w:type="spellStart"/>
      <w:r w:rsidRPr="002E683A">
        <w:rPr>
          <w:rFonts w:ascii="Times New Roman" w:hAnsi="Times New Roman" w:cs="Times New Roman"/>
          <w:sz w:val="24"/>
          <w:szCs w:val="24"/>
        </w:rPr>
        <w:t>demersal</w:t>
      </w:r>
      <w:proofErr w:type="spellEnd"/>
      <w:r w:rsidRPr="002E683A">
        <w:rPr>
          <w:rFonts w:ascii="Times New Roman" w:hAnsi="Times New Roman" w:cs="Times New Roman"/>
          <w:sz w:val="24"/>
          <w:szCs w:val="24"/>
        </w:rPr>
        <w:t>’ or bottom-dwelling but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spend some of their lives in the mid- to upper water levels.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Adults are found out to depths of 200 to 300 metres along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the continental shelf, while juveniles are common in bays,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inlets and estuaries that provide important nursery areas.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They have a broad-ranging diet and feed on small fish,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crustaceans, worms, molluscs, jellyfish, echinoderms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83A">
        <w:rPr>
          <w:rFonts w:ascii="Times New Roman" w:hAnsi="Times New Roman" w:cs="Times New Roman"/>
          <w:sz w:val="24"/>
          <w:szCs w:val="24"/>
        </w:rPr>
        <w:t>(such as sea stars and sea urchins) and algae.</w:t>
      </w:r>
    </w:p>
    <w:p w:rsidR="003453A8" w:rsidRPr="0041361D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26D8">
        <w:rPr>
          <w:rFonts w:ascii="Times New Roman" w:hAnsi="Times New Roman" w:cs="Times New Roman"/>
          <w:b/>
          <w:sz w:val="28"/>
          <w:szCs w:val="28"/>
        </w:rPr>
        <w:t>snappers</w:t>
      </w:r>
      <w:proofErr w:type="gramEnd"/>
      <w:r w:rsidRPr="005526D8">
        <w:rPr>
          <w:rFonts w:ascii="Times New Roman" w:hAnsi="Times New Roman" w:cs="Times New Roman"/>
          <w:b/>
          <w:sz w:val="28"/>
          <w:szCs w:val="28"/>
        </w:rPr>
        <w:t xml:space="preserve"> Snapper </w:t>
      </w:r>
      <w:proofErr w:type="spellStart"/>
      <w:r w:rsidRPr="005526D8">
        <w:rPr>
          <w:rFonts w:ascii="Times New Roman" w:hAnsi="Times New Roman" w:cs="Times New Roman"/>
          <w:b/>
          <w:i/>
          <w:iCs/>
          <w:sz w:val="28"/>
          <w:szCs w:val="28"/>
        </w:rPr>
        <w:t>Pagrus</w:t>
      </w:r>
      <w:proofErr w:type="spellEnd"/>
      <w:r w:rsidRPr="005526D8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526D8">
        <w:rPr>
          <w:rFonts w:ascii="Times New Roman" w:hAnsi="Times New Roman" w:cs="Times New Roman"/>
          <w:b/>
          <w:i/>
          <w:iCs/>
          <w:sz w:val="28"/>
          <w:szCs w:val="28"/>
        </w:rPr>
        <w:t>auratus</w:t>
      </w:r>
      <w:proofErr w:type="spellEnd"/>
      <w:r w:rsidRPr="001B00DE">
        <w:rPr>
          <w:b/>
          <w:i/>
          <w:iCs/>
          <w:sz w:val="24"/>
          <w:szCs w:val="24"/>
        </w:rPr>
        <w:t xml:space="preserve"> </w:t>
      </w:r>
      <w:r w:rsidRPr="005526D8">
        <w:rPr>
          <w:rFonts w:ascii="Times New Roman" w:hAnsi="Times New Roman" w:cs="Times New Roman"/>
          <w:sz w:val="24"/>
          <w:szCs w:val="24"/>
        </w:rPr>
        <w:t>The natural diet of snapper includes crabs, sea urchins, scallops, clams and mussels. Echinoderms, teleosts, crustaceans and molluscs made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6D8">
        <w:rPr>
          <w:rFonts w:ascii="Times New Roman" w:hAnsi="Times New Roman" w:cs="Times New Roman"/>
          <w:sz w:val="24"/>
          <w:szCs w:val="24"/>
        </w:rPr>
        <w:t xml:space="preserve">greatest overall contributions to the diet of </w:t>
      </w:r>
      <w:proofErr w:type="spellStart"/>
      <w:r w:rsidRPr="005526D8">
        <w:rPr>
          <w:rFonts w:ascii="Times New Roman" w:hAnsi="Times New Roman" w:cs="Times New Roman"/>
          <w:sz w:val="24"/>
          <w:szCs w:val="24"/>
        </w:rPr>
        <w:t>Pagrus</w:t>
      </w:r>
      <w:proofErr w:type="spellEnd"/>
      <w:r w:rsidRPr="0055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6D8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5526D8">
        <w:rPr>
          <w:rFonts w:ascii="Times New Roman" w:hAnsi="Times New Roman" w:cs="Times New Roman"/>
          <w:sz w:val="24"/>
          <w:szCs w:val="24"/>
        </w:rPr>
        <w:t xml:space="preserve">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6D8">
        <w:rPr>
          <w:rFonts w:ascii="Times New Roman" w:hAnsi="Times New Roman" w:cs="Times New Roman"/>
          <w:sz w:val="24"/>
          <w:szCs w:val="24"/>
        </w:rPr>
        <w:t>basis of both their frequency of occurrence in the gut contents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6D8">
        <w:rPr>
          <w:rFonts w:ascii="Times New Roman" w:hAnsi="Times New Roman" w:cs="Times New Roman"/>
          <w:sz w:val="24"/>
          <w:szCs w:val="24"/>
        </w:rPr>
        <w:t xml:space="preserve">their volumetric contributions to those </w:t>
      </w:r>
      <w:r w:rsidRPr="0041361D">
        <w:rPr>
          <w:rFonts w:ascii="Times New Roman" w:hAnsi="Times New Roman" w:cs="Times New Roman"/>
          <w:sz w:val="24"/>
          <w:szCs w:val="24"/>
        </w:rPr>
        <w:t xml:space="preserve">contents.  While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ophiuroids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(belonging entirely to the family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Ophiuridae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and echinoids were the two major echinoderm classes in the gut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contents of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Pagrus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, the former was ingested far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frequently and made a far greater contribution to those of smaller</w:t>
      </w:r>
    </w:p>
    <w:p w:rsidR="003453A8" w:rsidRPr="0041361D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61D">
        <w:rPr>
          <w:rFonts w:ascii="Times New Roman" w:hAnsi="Times New Roman" w:cs="Times New Roman"/>
          <w:sz w:val="24"/>
          <w:szCs w:val="24"/>
        </w:rPr>
        <w:t>fish</w:t>
      </w:r>
      <w:proofErr w:type="gramEnd"/>
      <w:r w:rsidRPr="0041361D">
        <w:rPr>
          <w:rFonts w:ascii="Times New Roman" w:hAnsi="Times New Roman" w:cs="Times New Roman"/>
          <w:sz w:val="24"/>
          <w:szCs w:val="24"/>
        </w:rPr>
        <w:t xml:space="preserve"> (&lt;400 mm) from the lower west coast than to those of large fish from both this region and the mid west coast.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decapod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component of the diet of 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was always overwhelmingly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dominated by crabs, which represented a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different families, such as the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Portunidae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Majidae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With the two most important dietary groups of molluscs</w:t>
      </w:r>
    </w:p>
    <w:p w:rsidR="003453A8" w:rsidRPr="0041361D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61D">
        <w:rPr>
          <w:rFonts w:ascii="Times New Roman" w:hAnsi="Times New Roman" w:cs="Times New Roman"/>
          <w:sz w:val="24"/>
          <w:szCs w:val="24"/>
        </w:rPr>
        <w:t>consumed</w:t>
      </w:r>
      <w:proofErr w:type="gramEnd"/>
      <w:r w:rsidRPr="0041361D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Pagrus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on the lower west coast, gastropods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tended to be ingested slightly more frequently and in greater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volumes by larger fish (i.e. &gt;400 mm), whereas the reverse was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case with bivalves. While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polyplacophorans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and cephalopods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made a small but appreciable contribution to the diets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larger 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from the lower west coast, these two groups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either absent or present in only small volumes in the gut contents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of both small 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from the lower west coast and larger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individuals from the mid west coast. On the mid west coast, where smaller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Pagrus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could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be obtained, echinoids and teleosts were by far the most 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contributors to the diets of this species and collectively contributed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far more to those diets than to those of the corresponding size</w:t>
      </w:r>
    </w:p>
    <w:p w:rsidR="003453A8" w:rsidRPr="0041361D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66"/>
          <w:sz w:val="24"/>
          <w:szCs w:val="24"/>
        </w:rPr>
      </w:pPr>
      <w:proofErr w:type="gramStart"/>
      <w:r w:rsidRPr="0041361D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41361D">
        <w:rPr>
          <w:rFonts w:ascii="Times New Roman" w:hAnsi="Times New Roman" w:cs="Times New Roman"/>
          <w:sz w:val="24"/>
          <w:szCs w:val="24"/>
        </w:rPr>
        <w:t xml:space="preserve"> of fish on the lower west coast. On the lower west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coast, an increase in the body size of 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was accompanied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a dramatic decline in the dietary contribution made by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ophiuroids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from as high as ca 63% in the smallest fish, and an increase in that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teleosts, with asteroids becoming ingested by the larger individuals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and contributing as much as 25% to the diets of the largest 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. The dietary contributions of echinoids and gastropods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tended initially to increase with body size and then decline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larger individuals.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These size-related changes were largely driven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by a very pronounced and progressive shift in the size and type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prey from small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ophiuroid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echinoderms (brittle stars) by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smallest individuals to substantial consumptions of brachyuran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crabs, teleosts and echinoid </w:t>
      </w:r>
      <w:r>
        <w:rPr>
          <w:rFonts w:ascii="Times New Roman" w:hAnsi="Times New Roman" w:cs="Times New Roman"/>
          <w:color w:val="000000"/>
          <w:sz w:val="24"/>
          <w:szCs w:val="24"/>
        </w:rPr>
        <w:t>echinoderms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(sea urchins) and ultimately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also asteroid echinoderms (starfish) by the largest individuals.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The ingestion of very large amounts of small and slow-moving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ophiuroids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by small P.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contrasts with the situation elsewhere,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with these echinoderms never being found in the gut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contents of such P.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in a gulf in South Australia (</w:t>
      </w:r>
      <w:r w:rsidRPr="0041361D">
        <w:rPr>
          <w:rFonts w:ascii="Times New Roman" w:hAnsi="Times New Roman" w:cs="Times New Roman"/>
          <w:color w:val="000066"/>
          <w:sz w:val="24"/>
          <w:szCs w:val="24"/>
        </w:rPr>
        <w:t>Saunders</w:t>
      </w:r>
    </w:p>
    <w:p w:rsidR="003453A8" w:rsidRPr="0041361D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61D">
        <w:rPr>
          <w:rFonts w:ascii="Times New Roman" w:hAnsi="Times New Roman" w:cs="Times New Roman"/>
          <w:color w:val="000066"/>
          <w:sz w:val="24"/>
          <w:szCs w:val="24"/>
        </w:rPr>
        <w:t>et al., 2012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) and only occasionally in a gulf and estuary in 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Zealand (</w:t>
      </w:r>
      <w:r w:rsidRPr="0041361D">
        <w:rPr>
          <w:rFonts w:ascii="Times New Roman" w:hAnsi="Times New Roman" w:cs="Times New Roman"/>
          <w:color w:val="000066"/>
          <w:sz w:val="24"/>
          <w:szCs w:val="24"/>
        </w:rPr>
        <w:t>Colman, 1972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1361D">
        <w:rPr>
          <w:rFonts w:ascii="Times New Roman" w:hAnsi="Times New Roman" w:cs="Times New Roman"/>
          <w:color w:val="000066"/>
          <w:sz w:val="24"/>
          <w:szCs w:val="24"/>
        </w:rPr>
        <w:t>Usmar</w:t>
      </w:r>
      <w:proofErr w:type="spellEnd"/>
      <w:r w:rsidRPr="0041361D">
        <w:rPr>
          <w:rFonts w:ascii="Times New Roman" w:hAnsi="Times New Roman" w:cs="Times New Roman"/>
          <w:color w:val="000066"/>
          <w:sz w:val="24"/>
          <w:szCs w:val="24"/>
        </w:rPr>
        <w:t>, 2012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However, this shift from the </w:t>
      </w:r>
      <w:r w:rsidRPr="0041361D">
        <w:rPr>
          <w:rFonts w:ascii="Times New Roman" w:hAnsi="Times New Roman" w:cs="Times New Roman"/>
          <w:sz w:val="24"/>
          <w:szCs w:val="24"/>
        </w:rPr>
        <w:t xml:space="preserve">consumption of such large volumes of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ophiuroid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echinoderms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the smallest fish to other prey by larger and older fish almost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certainly reflects, in part, a change from foraging over soft sediments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to areas over and around reefs. The view that small snapper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feed over soft substrata is entirely consistent with the results of</w:t>
      </w:r>
    </w:p>
    <w:p w:rsidR="003453A8" w:rsidRPr="0041361D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1361D">
        <w:rPr>
          <w:rFonts w:ascii="Times New Roman" w:hAnsi="Times New Roman" w:cs="Times New Roman"/>
          <w:sz w:val="24"/>
          <w:szCs w:val="24"/>
        </w:rPr>
        <w:t>studies</w:t>
      </w:r>
      <w:proofErr w:type="gramEnd"/>
      <w:r w:rsidRPr="0041361D">
        <w:rPr>
          <w:rFonts w:ascii="Times New Roman" w:hAnsi="Times New Roman" w:cs="Times New Roman"/>
          <w:sz w:val="24"/>
          <w:szCs w:val="24"/>
        </w:rPr>
        <w:t xml:space="preserve"> of the 0þ of this species in a large marine embayment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South Australia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As potential alternative prey for small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P.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, e.g.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polychaetes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and amphipods, are relatively abundant</w:t>
      </w:r>
    </w:p>
    <w:p w:rsidR="003453A8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61D">
        <w:rPr>
          <w:rFonts w:ascii="Times New Roman" w:hAnsi="Times New Roman" w:cs="Times New Roman"/>
          <w:color w:val="000000"/>
          <w:sz w:val="24"/>
          <w:szCs w:val="24"/>
        </w:rPr>
        <w:lastRenderedPageBreak/>
        <w:t>in</w:t>
      </w:r>
      <w:proofErr w:type="gram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Cockburn Sound (</w:t>
      </w:r>
      <w:proofErr w:type="spellStart"/>
      <w:r w:rsidRPr="0041361D">
        <w:rPr>
          <w:rFonts w:ascii="Times New Roman" w:hAnsi="Times New Roman" w:cs="Times New Roman"/>
          <w:color w:val="000066"/>
          <w:sz w:val="24"/>
          <w:szCs w:val="24"/>
        </w:rPr>
        <w:t>Oceanica</w:t>
      </w:r>
      <w:proofErr w:type="spellEnd"/>
      <w:r w:rsidRPr="0041361D">
        <w:rPr>
          <w:rFonts w:ascii="Times New Roman" w:hAnsi="Times New Roman" w:cs="Times New Roman"/>
          <w:color w:val="000066"/>
          <w:sz w:val="24"/>
          <w:szCs w:val="24"/>
        </w:rPr>
        <w:t>, 2007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), it is proposed that brittle stars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are targeted by small snapper in Cockburn Sound, because those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echinoderms would be particularly visible in the turbid waters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this embayment.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>On the lower west coast of Australia, the increased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ingestion of teleosts and crabs by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Pagrus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color w:val="000000"/>
          <w:sz w:val="24"/>
          <w:szCs w:val="24"/>
        </w:rPr>
        <w:t>, as this predator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increases in size was </w:t>
      </w:r>
      <w:proofErr w:type="gramStart"/>
      <w:r w:rsidRPr="0041361D">
        <w:rPr>
          <w:rFonts w:ascii="Times New Roman" w:hAnsi="Times New Roman" w:cs="Times New Roman"/>
          <w:color w:val="000000"/>
          <w:sz w:val="24"/>
          <w:szCs w:val="24"/>
        </w:rPr>
        <w:t>see</w:t>
      </w:r>
      <w:proofErr w:type="gramEnd"/>
      <w:r w:rsidRPr="004136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1361D">
        <w:rPr>
          <w:rFonts w:ascii="Times New Roman" w:hAnsi="Times New Roman" w:cs="Times New Roman"/>
          <w:sz w:val="24"/>
          <w:szCs w:val="24"/>
        </w:rPr>
        <w:t>The stomach contents of medium-sized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, i.e. 300e599 mm TL, on the lower west coast of Australia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contained substantial volumes of sea urchins. </w:t>
      </w:r>
      <w:proofErr w:type="gramStart"/>
      <w:r w:rsidRPr="0041361D">
        <w:rPr>
          <w:rFonts w:ascii="Times New Roman" w:hAnsi="Times New Roman" w:cs="Times New Roman"/>
          <w:sz w:val="24"/>
          <w:szCs w:val="24"/>
        </w:rPr>
        <w:t>As large starfish,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Astropecten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preissei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, were only ingested by the larger fish on the lower western Australian coast, i.e. &gt;600 mm TL.</w:t>
      </w:r>
      <w:proofErr w:type="gramEnd"/>
      <w:r w:rsidRPr="0041361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>ingestion of substantial volumes of both starfish and sea urchins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61D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auratus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 xml:space="preserve"> on the lower west coast of Australia is atypical for a </w:t>
      </w:r>
      <w:proofErr w:type="spellStart"/>
      <w:r w:rsidRPr="0041361D">
        <w:rPr>
          <w:rFonts w:ascii="Times New Roman" w:hAnsi="Times New Roman" w:cs="Times New Roman"/>
          <w:sz w:val="24"/>
          <w:szCs w:val="24"/>
        </w:rPr>
        <w:t>sparid</w:t>
      </w:r>
      <w:proofErr w:type="spellEnd"/>
      <w:r w:rsidRPr="0041361D">
        <w:rPr>
          <w:rFonts w:ascii="Times New Roman" w:hAnsi="Times New Roman" w:cs="Times New Roman"/>
          <w:sz w:val="24"/>
          <w:szCs w:val="24"/>
        </w:rPr>
        <w:t>.</w:t>
      </w:r>
    </w:p>
    <w:p w:rsidR="005152A5" w:rsidRPr="0041361D" w:rsidRDefault="005152A5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3A8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4591050" cy="54138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1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6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drawing>
          <wp:inline distT="0" distB="0" distL="0" distR="0">
            <wp:extent cx="1744955" cy="2971800"/>
            <wp:effectExtent l="19050" t="0" r="7645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5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A8" w:rsidRPr="005526D8" w:rsidRDefault="003453A8" w:rsidP="00345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drawing>
          <wp:inline distT="0" distB="0" distL="0" distR="0">
            <wp:extent cx="5731510" cy="4333273"/>
            <wp:effectExtent l="19050" t="0" r="254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A8" w:rsidRPr="001B00DE" w:rsidRDefault="003453A8" w:rsidP="003453A8">
      <w:pPr>
        <w:pStyle w:val="Heading1"/>
        <w:rPr>
          <w:b w:val="0"/>
          <w:sz w:val="24"/>
          <w:szCs w:val="24"/>
        </w:rPr>
      </w:pPr>
    </w:p>
    <w:p w:rsidR="0088582C" w:rsidRDefault="0088582C" w:rsidP="0088582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&gt; 150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8582C" w:rsidRPr="0075031C" w:rsidTr="0088582C">
        <w:tc>
          <w:tcPr>
            <w:tcW w:w="4621" w:type="dxa"/>
          </w:tcPr>
          <w:p w:rsidR="0088582C" w:rsidRPr="0075031C" w:rsidRDefault="0088582C" w:rsidP="0088582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88582C" w:rsidRPr="0075031C" w:rsidRDefault="0088582C" w:rsidP="0088582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104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 bivalve</w:t>
            </w:r>
          </w:p>
        </w:tc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ophiuroids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echinoids</w:t>
            </w:r>
          </w:p>
        </w:tc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FSR small</w:t>
            </w:r>
          </w:p>
        </w:tc>
        <w:tc>
          <w:tcPr>
            <w:tcW w:w="4621" w:type="dxa"/>
          </w:tcPr>
          <w:p w:rsidR="0088582C" w:rsidRP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FLR small</w:t>
            </w:r>
          </w:p>
        </w:tc>
        <w:tc>
          <w:tcPr>
            <w:tcW w:w="4621" w:type="dxa"/>
          </w:tcPr>
          <w:p w:rsidR="0088582C" w:rsidRP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FMA small</w:t>
            </w:r>
          </w:p>
        </w:tc>
        <w:tc>
          <w:tcPr>
            <w:tcW w:w="4621" w:type="dxa"/>
          </w:tcPr>
          <w:p w:rsidR="0088582C" w:rsidRP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FDC small</w:t>
            </w:r>
          </w:p>
        </w:tc>
        <w:tc>
          <w:tcPr>
            <w:tcW w:w="4621" w:type="dxa"/>
          </w:tcPr>
          <w:p w:rsidR="0088582C" w:rsidRP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88582C" w:rsidRPr="0075031C" w:rsidTr="0088582C">
        <w:tc>
          <w:tcPr>
            <w:tcW w:w="4621" w:type="dxa"/>
          </w:tcPr>
          <w:p w:rsidR="0088582C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</w:t>
            </w:r>
          </w:p>
        </w:tc>
        <w:tc>
          <w:tcPr>
            <w:tcW w:w="4621" w:type="dxa"/>
          </w:tcPr>
          <w:p w:rsidR="0088582C" w:rsidRP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104D9B" w:rsidRPr="0075031C" w:rsidTr="0088582C">
        <w:tc>
          <w:tcPr>
            <w:tcW w:w="4621" w:type="dxa"/>
          </w:tcPr>
          <w:p w:rsid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echinoids</w:t>
            </w:r>
          </w:p>
        </w:tc>
        <w:tc>
          <w:tcPr>
            <w:tcW w:w="4621" w:type="dxa"/>
          </w:tcPr>
          <w:p w:rsidR="00104D9B" w:rsidRPr="00104D9B" w:rsidRDefault="00104D9B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04D9B" w:rsidRPr="0075031C" w:rsidTr="0088582C">
        <w:tc>
          <w:tcPr>
            <w:tcW w:w="4621" w:type="dxa"/>
          </w:tcPr>
          <w:p w:rsid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 crabs</w:t>
            </w:r>
          </w:p>
        </w:tc>
        <w:tc>
          <w:tcPr>
            <w:tcW w:w="4621" w:type="dxa"/>
          </w:tcPr>
          <w:p w:rsidR="00104D9B" w:rsidRPr="00104D9B" w:rsidRDefault="00A9286A" w:rsidP="0088582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3453A8" w:rsidRDefault="003453A8" w:rsidP="002E6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D9B" w:rsidRDefault="00104D9B" w:rsidP="00104D9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150-299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04D9B" w:rsidRPr="0075031C" w:rsidTr="00104D9B"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104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 bivalve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ophiuroids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echinoids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FSR small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FLR small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FMA small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polychaets</w:t>
            </w:r>
            <w:proofErr w:type="spellEnd"/>
          </w:p>
        </w:tc>
        <w:tc>
          <w:tcPr>
            <w:tcW w:w="4621" w:type="dxa"/>
          </w:tcPr>
          <w:p w:rsidR="00A9286A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FDC small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echinoids</w:t>
            </w:r>
            <w:r w:rsidR="007F1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snails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 crabs</w:t>
            </w:r>
          </w:p>
        </w:tc>
        <w:tc>
          <w:tcPr>
            <w:tcW w:w="4621" w:type="dxa"/>
          </w:tcPr>
          <w:p w:rsidR="00A9286A" w:rsidRPr="00104D9B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A9286A" w:rsidRPr="0075031C" w:rsidTr="00104D9B">
        <w:tc>
          <w:tcPr>
            <w:tcW w:w="4621" w:type="dxa"/>
          </w:tcPr>
          <w:p w:rsidR="00A9286A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shrimps</w:t>
            </w:r>
          </w:p>
        </w:tc>
        <w:tc>
          <w:tcPr>
            <w:tcW w:w="4621" w:type="dxa"/>
          </w:tcPr>
          <w:p w:rsidR="00A9286A" w:rsidRDefault="00A9286A" w:rsidP="00A9286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0.02</w:t>
            </w:r>
          </w:p>
        </w:tc>
      </w:tr>
    </w:tbl>
    <w:p w:rsidR="00104D9B" w:rsidRDefault="00104D9B" w:rsidP="00104D9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300-449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04D9B" w:rsidRPr="0075031C" w:rsidTr="00104D9B"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104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 bivalve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ophiuroids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echinoids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FSR small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FLR small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FMA small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polychaets</w:t>
            </w:r>
            <w:proofErr w:type="spellEnd"/>
          </w:p>
        </w:tc>
        <w:tc>
          <w:tcPr>
            <w:tcW w:w="4621" w:type="dxa"/>
          </w:tcPr>
          <w:p w:rsidR="007F1A75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FDC small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echinoids, snails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 crabs</w:t>
            </w:r>
          </w:p>
        </w:tc>
        <w:tc>
          <w:tcPr>
            <w:tcW w:w="4621" w:type="dxa"/>
          </w:tcPr>
          <w:p w:rsidR="007F1A75" w:rsidRPr="00104D9B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7F1A75" w:rsidRPr="0075031C" w:rsidTr="00104D9B">
        <w:tc>
          <w:tcPr>
            <w:tcW w:w="4621" w:type="dxa"/>
          </w:tcPr>
          <w:p w:rsidR="007F1A75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shrimps</w:t>
            </w:r>
          </w:p>
        </w:tc>
        <w:tc>
          <w:tcPr>
            <w:tcW w:w="4621" w:type="dxa"/>
          </w:tcPr>
          <w:p w:rsidR="007F1A75" w:rsidRDefault="007F1A75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0.02</w:t>
            </w:r>
          </w:p>
        </w:tc>
      </w:tr>
    </w:tbl>
    <w:p w:rsidR="00104D9B" w:rsidRDefault="00104D9B" w:rsidP="002E6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D9B" w:rsidRDefault="00104D9B" w:rsidP="00104D9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450-599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04D9B" w:rsidRPr="0075031C" w:rsidTr="00104D9B"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104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 bivalve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ophiuroids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echinoids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C174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FSR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FLR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FMA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polychaets</w:t>
            </w:r>
            <w:proofErr w:type="spellEnd"/>
          </w:p>
        </w:tc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FDC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echinoids, snails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 crabs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shrimps</w:t>
            </w:r>
          </w:p>
        </w:tc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104D9B" w:rsidRDefault="00104D9B" w:rsidP="002E6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D9B" w:rsidRDefault="00104D9B" w:rsidP="00104D9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600-749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04D9B" w:rsidRPr="0075031C" w:rsidTr="00104D9B"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104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 bivalve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ophiuroids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echinoids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FSR 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FLR 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FMA 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polychaets</w:t>
            </w:r>
            <w:proofErr w:type="spellEnd"/>
          </w:p>
        </w:tc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FDC medium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echinoids, snails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 crabs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shrimps</w:t>
            </w:r>
          </w:p>
        </w:tc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104D9B" w:rsidRDefault="00104D9B" w:rsidP="002E6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D9B" w:rsidRDefault="00104D9B" w:rsidP="00104D9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&gt; 750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04D9B" w:rsidRPr="0075031C" w:rsidTr="00104D9B"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04D9B" w:rsidRPr="0075031C" w:rsidRDefault="00104D9B" w:rsidP="00104D9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7503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104D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BFF bivalve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ophiuroids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, echinoids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FSR medium</w:t>
            </w:r>
          </w:p>
        </w:tc>
        <w:tc>
          <w:tcPr>
            <w:tcW w:w="4621" w:type="dxa"/>
          </w:tcPr>
          <w:p w:rsidR="00C17406" w:rsidRPr="00104D9B" w:rsidRDefault="00C17406" w:rsidP="00C174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FLR medium</w:t>
            </w:r>
          </w:p>
        </w:tc>
        <w:tc>
          <w:tcPr>
            <w:tcW w:w="4621" w:type="dxa"/>
          </w:tcPr>
          <w:p w:rsidR="00C17406" w:rsidRPr="00104D9B" w:rsidRDefault="00C17406" w:rsidP="00C174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FMA medium</w:t>
            </w:r>
          </w:p>
        </w:tc>
        <w:tc>
          <w:tcPr>
            <w:tcW w:w="4621" w:type="dxa"/>
          </w:tcPr>
          <w:p w:rsidR="00C17406" w:rsidRPr="00104D9B" w:rsidRDefault="00C17406" w:rsidP="00C174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BC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polychaets</w:t>
            </w:r>
            <w:proofErr w:type="spellEnd"/>
          </w:p>
        </w:tc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FDC medium</w:t>
            </w:r>
          </w:p>
        </w:tc>
        <w:tc>
          <w:tcPr>
            <w:tcW w:w="4621" w:type="dxa"/>
          </w:tcPr>
          <w:p w:rsidR="00C17406" w:rsidRPr="00104D9B" w:rsidRDefault="00C17406" w:rsidP="00C174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CEP cephalopod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BG echinoids, snails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MAZ crabs</w:t>
            </w:r>
          </w:p>
        </w:tc>
        <w:tc>
          <w:tcPr>
            <w:tcW w:w="4621" w:type="dxa"/>
          </w:tcPr>
          <w:p w:rsidR="00C17406" w:rsidRPr="00104D9B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0.15</w:t>
            </w:r>
          </w:p>
        </w:tc>
      </w:tr>
      <w:tr w:rsidR="00C17406" w:rsidRPr="0075031C" w:rsidTr="00104D9B"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PRW shrimps</w:t>
            </w:r>
          </w:p>
        </w:tc>
        <w:tc>
          <w:tcPr>
            <w:tcW w:w="4621" w:type="dxa"/>
          </w:tcPr>
          <w:p w:rsidR="00C17406" w:rsidRDefault="00C17406" w:rsidP="00A673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104D9B" w:rsidRPr="002E683A" w:rsidRDefault="00104D9B" w:rsidP="002E6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4D9B" w:rsidRPr="002E683A" w:rsidSect="00CA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83A"/>
    <w:rsid w:val="00104D9B"/>
    <w:rsid w:val="002E683A"/>
    <w:rsid w:val="003453A8"/>
    <w:rsid w:val="00352754"/>
    <w:rsid w:val="004A1027"/>
    <w:rsid w:val="005152A5"/>
    <w:rsid w:val="00715DAF"/>
    <w:rsid w:val="007F1A75"/>
    <w:rsid w:val="00884C7B"/>
    <w:rsid w:val="0088582C"/>
    <w:rsid w:val="00A9286A"/>
    <w:rsid w:val="00C17406"/>
    <w:rsid w:val="00CA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5C"/>
  </w:style>
  <w:style w:type="paragraph" w:styleId="Heading1">
    <w:name w:val="heading 1"/>
    <w:basedOn w:val="Normal"/>
    <w:link w:val="Heading1Char"/>
    <w:uiPriority w:val="9"/>
    <w:qFormat/>
    <w:rsid w:val="00345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3A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FDRCD752KDN2-1520109182-6412</_dlc_DocId>
    <_dlc_DocIdUrl xmlns="fe7e52a9-06d7-4026-824d-e6bebc46e20b">
      <Url>https://csiroau.sharepoint.com/sites/SICK-EM/_layouts/15/DocIdRedir.aspx?ID=FDRCD752KDN2-1520109182-6412</Url>
      <Description>FDRCD752KDN2-1520109182-6412</Description>
    </_dlc_DocIdUrl>
  </documentManagement>
</p:properties>
</file>

<file path=customXml/itemProps1.xml><?xml version="1.0" encoding="utf-8"?>
<ds:datastoreItem xmlns:ds="http://schemas.openxmlformats.org/officeDocument/2006/customXml" ds:itemID="{24D1497B-8E73-46B6-BFEC-1F56F28B0D8C}"/>
</file>

<file path=customXml/itemProps2.xml><?xml version="1.0" encoding="utf-8"?>
<ds:datastoreItem xmlns:ds="http://schemas.openxmlformats.org/officeDocument/2006/customXml" ds:itemID="{013DC6CE-C914-4297-8877-07FB93F27254}"/>
</file>

<file path=customXml/itemProps3.xml><?xml version="1.0" encoding="utf-8"?>
<ds:datastoreItem xmlns:ds="http://schemas.openxmlformats.org/officeDocument/2006/customXml" ds:itemID="{51400401-5E5D-4381-94CD-32DBD37E80F3}"/>
</file>

<file path=customXml/itemProps4.xml><?xml version="1.0" encoding="utf-8"?>
<ds:datastoreItem xmlns:ds="http://schemas.openxmlformats.org/officeDocument/2006/customXml" ds:itemID="{8DC497AB-7E6B-49EE-B1D1-2B9DAB5A8F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2013-11-01T05:13:00Z</dcterms:created>
  <dcterms:modified xsi:type="dcterms:W3CDTF">2013-11-01T05:13:00Z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7adf1b1a-08c8-4879-ae4a-1c16218126cc</vt:lpwstr>
  </property>
</Properties>
</file>