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32"/>
          <w:szCs w:val="32"/>
        </w:rPr>
        <w:t xml:space="preserve">ACC102 Mini Assignment — Reflection Report</w:t>
      </w:r>
    </w:p>
    <w:p>
      <w:pPr>
        <w:spacing w:after="60"/>
        <w:jc w:val="center"/>
      </w:pPr>
      <w:r>
        <w:rPr>
          <w:rFonts w:ascii="Arial" w:cs="Arial" w:eastAsia="Arial" w:hAnsi="Arial"/>
          <w:color w:val="555555"/>
          <w:sz w:val="24"/>
          <w:szCs w:val="24"/>
        </w:rPr>
        <w:t xml:space="preserve">Track 4: Interactive Data Analysis Tool</w:t>
      </w:r>
    </w:p>
    <w:p>
      <w:pPr>
        <w:spacing w:after="60"/>
        <w:jc w:val="center"/>
      </w:pPr>
      <w:r>
        <w:rPr>
          <w:rFonts w:ascii="Arial" w:cs="Arial" w:eastAsia="Arial" w:hAnsi="Arial"/>
          <w:i/>
          <w:iCs/>
          <w:color w:val="555555"/>
          <w:sz w:val="22"/>
          <w:szCs w:val="22"/>
        </w:rPr>
        <w:t xml:space="preserve">Product Title: Youth Unemployment Explorer — A Streamlit Interactive App</w:t>
      </w:r>
    </w:p>
    <w:p>
      <w:pPr>
        <w:spacing w:after="400"/>
        <w:jc w:val="center"/>
      </w:pPr>
      <w:r>
        <w:rPr>
          <w:rFonts w:ascii="Arial" w:cs="Arial" w:eastAsia="Arial" w:hAnsi="Arial"/>
          <w:color w:val="777777"/>
          <w:sz w:val="20"/>
          <w:szCs w:val="20"/>
        </w:rPr>
        <w:t xml:space="preserve">Xi’an Jiaotong-Liverpool University · IBSS · 2nd Semester 2024–25</w:t>
      </w:r>
    </w:p>
    <w:p>
      <w:pPr>
        <w:pStyle w:val="Heading1"/>
      </w:pPr>
      <w:r>
        <w:t xml:space="preserve">1. Analytical Problem and Intended Audience</w:t>
      </w:r>
    </w:p>
    <w:p>
      <w:pPr>
        <w:spacing w:after="200"/>
      </w:pPr>
      <w:r>
        <w:rPr>
          <w:rFonts w:ascii="Arial" w:cs="Arial" w:eastAsia="Arial" w:hAnsi="Arial"/>
          <w:sz w:val="24"/>
          <w:szCs w:val="24"/>
        </w:rPr>
        <w:t xml:space="preserve">Youth unemployment is one of the most persistent and consequential economic challenges of our time. Young people aged 15–24 face joblessness at roughly twice the adult rate worldwide, yet the scale and underlying causes of this gap differ markedly by region, income level, and economic structure. The analytical problem guiding this project is: how has global youth unemployment evolved between 1991 and 2022, and what structural factors — including GDP and dominant employment sector — are associated with the severity of the youth–adult unemployment gap? Rather than delivering a fixed set of charts, this project builds an interactive tool that lets users explore these questions themselves by filtering on region, year range, and country. The intended audience is economics and policy students and educators who want to interrogate the data rather than passively consume pre-packaged findings.</w:t>
      </w:r>
    </w:p>
    <w:p>
      <w:pPr>
        <w:pStyle w:val="Heading1"/>
      </w:pPr>
      <w:r>
        <w:t xml:space="preserve">2. Dataset Description and Selection Rationale</w:t>
      </w:r>
    </w:p>
    <w:p>
      <w:pPr>
        <w:spacing w:after="100"/>
      </w:pPr>
      <w:r>
        <w:rPr>
          <w:rFonts w:ascii="Arial" w:cs="Arial" w:eastAsia="Arial" w:hAnsi="Arial"/>
          <w:sz w:val="24"/>
          <w:szCs w:val="24"/>
        </w:rPr>
        <w:t xml:space="preserve">Two publicly available datasets are used:</w:t>
      </w:r>
    </w:p>
    <w:p>
      <w:pPr>
        <w:pStyle w:val="ListParagraph"/>
        <w:numPr>
          <w:ilvl w:val="0"/>
          <w:numId w:val="2"/>
        </w:numPr>
        <w:spacing w:after="80"/>
      </w:pPr>
      <w:r>
        <w:rPr>
          <w:rFonts w:ascii="Arial" w:cs="Arial" w:eastAsia="Arial" w:hAnsi="Arial"/>
          <w:sz w:val="24"/>
          <w:szCs w:val="24"/>
        </w:rPr>
        <w:t xml:space="preserve">youth_unemployment_global.csv — annual youth unemployment rates (15–24 age group) for 100+ countries, sourced from the World Bank and ILO, accessed April 2025 via Kaggle.</w:t>
      </w:r>
    </w:p>
    <w:p>
      <w:pPr>
        <w:pStyle w:val="ListParagraph"/>
        <w:numPr>
          <w:ilvl w:val="0"/>
          <w:numId w:val="2"/>
        </w:numPr>
        <w:spacing w:after="200"/>
      </w:pPr>
      <w:r>
        <w:rPr>
          <w:rFonts w:ascii="Arial" w:cs="Arial" w:eastAsia="Arial" w:hAnsi="Arial"/>
          <w:sz w:val="24"/>
          <w:szCs w:val="24"/>
        </w:rPr>
        <w:t xml:space="preserve">Employment_Unemployment_GDP_data.csv — annual total unemployment rates, GDP (USD), and employment sector shares (Agriculture, Industry, Services) for the same country set, World Bank origin, accessed April 2025 via Kaggle.</w:t>
      </w:r>
    </w:p>
    <w:p>
      <w:pPr>
        <w:spacing w:after="200"/>
      </w:pPr>
      <w:r>
        <w:rPr>
          <w:rFonts w:ascii="Arial" w:cs="Arial" w:eastAsia="Arial" w:hAnsi="Arial"/>
          <w:sz w:val="24"/>
          <w:szCs w:val="24"/>
        </w:rPr>
        <w:t xml:space="preserve">These datasets were selected because they are authoritative (World Bank / ILO), free to use, and together enable a multi-dimensional analysis: temporal trends, regional comparisons, structural correlates, and country-level deep dives. Both files are small enough to be bundled directly in the repository, ensuring full reproducibility without requiring the user to download anything separately.</w:t>
      </w:r>
    </w:p>
    <w:p>
      <w:pPr>
        <w:pStyle w:val="Heading1"/>
      </w:pPr>
      <w:r>
        <w:t xml:space="preserve">3. Python Methods</w:t>
      </w:r>
    </w:p>
    <w:p>
      <w:pPr>
        <w:spacing w:after="100"/>
      </w:pPr>
      <w:r>
        <w:rPr>
          <w:rFonts w:ascii="Arial" w:cs="Arial" w:eastAsia="Arial" w:hAnsi="Arial"/>
          <w:sz w:val="24"/>
          <w:szCs w:val="24"/>
        </w:rPr>
        <w:t xml:space="preserve">The app is built with Streamlit, and all data processing and visualisation logic is written in Python. The key methods are:</w:t>
      </w:r>
    </w:p>
    <w:p>
      <w:pPr>
        <w:pStyle w:val="ListParagraph"/>
        <w:numPr>
          <w:ilvl w:val="0"/>
          <w:numId w:val="2"/>
        </w:numPr>
        <w:spacing w:after="80"/>
      </w:pPr>
      <w:r>
        <w:rPr>
          <w:rFonts w:ascii="Arial" w:cs="Arial" w:eastAsia="Arial" w:hAnsi="Arial"/>
          <w:sz w:val="24"/>
          <w:szCs w:val="24"/>
        </w:rPr>
        <w:t xml:space="preserve">Data loading and caching: both CSVs are loaded with pd.read_csv() and decorated with @st.cache_data so they are processed only once per session, keeping the app fast.</w:t>
      </w:r>
    </w:p>
    <w:p>
      <w:pPr>
        <w:pStyle w:val="ListParagraph"/>
        <w:numPr>
          <w:ilvl w:val="0"/>
          <w:numId w:val="2"/>
        </w:numPr>
        <w:spacing w:after="80"/>
      </w:pPr>
      <w:r>
        <w:rPr>
          <w:rFonts w:ascii="Arial" w:cs="Arial" w:eastAsia="Arial" w:hAnsi="Arial"/>
          <w:sz w:val="24"/>
          <w:szCs w:val="24"/>
        </w:rPr>
        <w:t xml:space="preserve">Cleaning and merging: rows missing youth unemployment are dropped; the date range is filtered to 1991–2022; an inner join on Country and Year merges the two sources.</w:t>
      </w:r>
    </w:p>
    <w:p>
      <w:pPr>
        <w:pStyle w:val="ListParagraph"/>
        <w:numPr>
          <w:ilvl w:val="0"/>
          <w:numId w:val="2"/>
        </w:numPr>
        <w:spacing w:after="80"/>
      </w:pPr>
      <w:r>
        <w:rPr>
          <w:rFonts w:ascii="Arial" w:cs="Arial" w:eastAsia="Arial" w:hAnsi="Arial"/>
          <w:sz w:val="24"/>
          <w:szCs w:val="24"/>
        </w:rPr>
        <w:t xml:space="preserve">Feature engineering: GDP_bn (GDP in billions), GDP_log (log₁₀ of GDP), Youth_Gap (youth rate minus total rate), Dom_Sector (dominant sector via idxmax()), Region (manual mapping to seven world regions).</w:t>
      </w:r>
    </w:p>
    <w:p>
      <w:pPr>
        <w:pStyle w:val="ListParagraph"/>
        <w:numPr>
          <w:ilvl w:val="0"/>
          <w:numId w:val="2"/>
        </w:numPr>
        <w:spacing w:after="80"/>
      </w:pPr>
      <w:r>
        <w:rPr>
          <w:rFonts w:ascii="Arial" w:cs="Arial" w:eastAsia="Arial" w:hAnsi="Arial"/>
          <w:sz w:val="24"/>
          <w:szCs w:val="24"/>
        </w:rPr>
        <w:t xml:space="preserve">Interactive filtering: Streamlit sidebar widgets (st.slider, st.multiselect, st.selectbox) pass user choices into pandas boolean masks, so every chart and table updates dynamically in response to user input.</w:t>
      </w:r>
    </w:p>
    <w:p>
      <w:pPr>
        <w:pStyle w:val="ListParagraph"/>
        <w:numPr>
          <w:ilvl w:val="0"/>
          <w:numId w:val="2"/>
        </w:numPr>
        <w:spacing w:after="80"/>
      </w:pPr>
      <w:r>
        <w:rPr>
          <w:rFonts w:ascii="Arial" w:cs="Arial" w:eastAsia="Arial" w:hAnsi="Arial"/>
          <w:sz w:val="24"/>
          <w:szCs w:val="24"/>
        </w:rPr>
        <w:t xml:space="preserve">Visualisation: four tabs each contain matplotlib/seaborn charts (line, boxplot, scatter, bar). Pearson’s r is computed with numpy.corrcoef() on the 2022 GDP scatter.</w:t>
      </w:r>
    </w:p>
    <w:p>
      <w:pPr>
        <w:pStyle w:val="ListParagraph"/>
        <w:numPr>
          <w:ilvl w:val="0"/>
          <w:numId w:val="2"/>
        </w:numPr>
        <w:spacing w:after="200"/>
      </w:pPr>
      <w:r>
        <w:rPr>
          <w:rFonts w:ascii="Arial" w:cs="Arial" w:eastAsia="Arial" w:hAnsi="Arial"/>
          <w:sz w:val="24"/>
          <w:szCs w:val="24"/>
        </w:rPr>
        <w:t xml:space="preserve">UI design: custom CSS injected via st.markdown() gives the app a professional dashboard appearance with a colour-coded sidebar, styled metric cards, tabbed layout, and insight callout boxes.</w:t>
      </w:r>
    </w:p>
    <w:p>
      <w:pPr>
        <w:pStyle w:val="Heading1"/>
      </w:pPr>
      <w:r>
        <w:t xml:space="preserve">4. Main Insights</w:t>
      </w:r>
    </w:p>
    <w:p>
      <w:pPr>
        <w:pStyle w:val="ListParagraph"/>
        <w:numPr>
          <w:ilvl w:val="0"/>
          <w:numId w:val="2"/>
        </w:numPr>
        <w:spacing w:after="80"/>
      </w:pPr>
      <w:r>
        <w:rPr>
          <w:rFonts w:ascii="Arial" w:cs="Arial" w:eastAsia="Arial" w:hAnsi="Arial"/>
          <w:sz w:val="24"/>
          <w:szCs w:val="24"/>
        </w:rPr>
        <w:t xml:space="preserve">Global average youth unemployment peaked at 18.8% in 2020 (COVID-19 shock), recovering to 16.2% in 2022.</w:t>
      </w:r>
    </w:p>
    <w:p>
      <w:pPr>
        <w:pStyle w:val="ListParagraph"/>
        <w:numPr>
          <w:ilvl w:val="0"/>
          <w:numId w:val="2"/>
        </w:numPr>
        <w:spacing w:after="80"/>
      </w:pPr>
      <w:r>
        <w:rPr>
          <w:rFonts w:ascii="Arial" w:cs="Arial" w:eastAsia="Arial" w:hAnsi="Arial"/>
          <w:sz w:val="24"/>
          <w:szCs w:val="24"/>
        </w:rPr>
        <w:t xml:space="preserve">Youth unemployment consistently runs approximately 2× the total adult rate across all regions — the gap is structural, not merely cyclical.</w:t>
      </w:r>
    </w:p>
    <w:p>
      <w:pPr>
        <w:pStyle w:val="ListParagraph"/>
        <w:numPr>
          <w:ilvl w:val="0"/>
          <w:numId w:val="2"/>
        </w:numPr>
        <w:spacing w:after="80"/>
      </w:pPr>
      <w:r>
        <w:rPr>
          <w:rFonts w:ascii="Arial" w:cs="Arial" w:eastAsia="Arial" w:hAnsi="Arial"/>
          <w:sz w:val="24"/>
          <w:szCs w:val="24"/>
        </w:rPr>
        <w:t xml:space="preserve">Middle East &amp; Africa (20.9%) and Asia-Pacific (8.5%) represent the extremes in 2022. South Africa (61.1%) and Jordan (42.0%) are the most acute individual cases.</w:t>
      </w:r>
    </w:p>
    <w:p>
      <w:pPr>
        <w:pStyle w:val="ListParagraph"/>
        <w:numPr>
          <w:ilvl w:val="0"/>
          <w:numId w:val="2"/>
        </w:numPr>
        <w:spacing w:after="80"/>
      </w:pPr>
      <w:r>
        <w:rPr>
          <w:rFonts w:ascii="Arial" w:cs="Arial" w:eastAsia="Arial" w:hAnsi="Arial"/>
          <w:sz w:val="24"/>
          <w:szCs w:val="24"/>
        </w:rPr>
        <w:t xml:space="preserve">GDP correlation with youth unemployment is r = −0.26 — modest, indicating economic size is a weak predictor; structural factors and institutions matter more.</w:t>
      </w:r>
    </w:p>
    <w:p>
      <w:pPr>
        <w:pStyle w:val="ListParagraph"/>
        <w:numPr>
          <w:ilvl w:val="0"/>
          <w:numId w:val="2"/>
        </w:numPr>
        <w:spacing w:after="200"/>
      </w:pPr>
      <w:r>
        <w:rPr>
          <w:rFonts w:ascii="Arial" w:cs="Arial" w:eastAsia="Arial" w:hAnsi="Arial"/>
          <w:sz w:val="24"/>
          <w:szCs w:val="24"/>
        </w:rPr>
        <w:t xml:space="preserve">Services-dominant economies show a larger youth–adult gap (median 8.2 pp) than agriculture-dominant ones (3.4 pp), likely because informal agriculture absorbs youth outside formal employment counts.</w:t>
      </w:r>
    </w:p>
    <w:p>
      <w:pPr>
        <w:pStyle w:val="Heading1"/>
      </w:pPr>
      <w:r>
        <w:t xml:space="preserve">5. Limitations, Reliability, and Possible Improvements</w:t>
      </w:r>
    </w:p>
    <w:p>
      <w:pPr>
        <w:pStyle w:val="ListParagraph"/>
        <w:numPr>
          <w:ilvl w:val="0"/>
          <w:numId w:val="2"/>
        </w:numPr>
        <w:spacing w:after="80"/>
      </w:pPr>
      <w:r>
        <w:rPr>
          <w:rFonts w:ascii="Arial" w:cs="Arial" w:eastAsia="Arial" w:hAnsi="Arial"/>
          <w:sz w:val="24"/>
          <w:szCs w:val="24"/>
        </w:rPr>
        <w:t xml:space="preserve">Data gaps: not all countries report every year; the inner merge excludes country-years absent from either dataset, slightly reducing coverage.</w:t>
      </w:r>
    </w:p>
    <w:p>
      <w:pPr>
        <w:pStyle w:val="ListParagraph"/>
        <w:numPr>
          <w:ilvl w:val="0"/>
          <w:numId w:val="2"/>
        </w:numPr>
        <w:spacing w:after="80"/>
      </w:pPr>
      <w:r>
        <w:rPr>
          <w:rFonts w:ascii="Arial" w:cs="Arial" w:eastAsia="Arial" w:hAnsi="Arial"/>
          <w:sz w:val="24"/>
          <w:szCs w:val="24"/>
        </w:rPr>
        <w:t xml:space="preserve">Region mapping is manual and approximate; some smaller economies are labelled Other, reducing regional analysis completeness.</w:t>
      </w:r>
    </w:p>
    <w:p>
      <w:pPr>
        <w:pStyle w:val="ListParagraph"/>
        <w:numPr>
          <w:ilvl w:val="0"/>
          <w:numId w:val="2"/>
        </w:numPr>
        <w:spacing w:after="80"/>
      </w:pPr>
      <w:r>
        <w:rPr>
          <w:rFonts w:ascii="Arial" w:cs="Arial" w:eastAsia="Arial" w:hAnsi="Arial"/>
          <w:sz w:val="24"/>
          <w:szCs w:val="24"/>
        </w:rPr>
        <w:t xml:space="preserve">All associations are descriptive. The GDP scatter and sector gap are correlational, not causal — fixed-effects panel models would be needed to make stronger claims.</w:t>
      </w:r>
    </w:p>
    <w:p>
      <w:pPr>
        <w:pStyle w:val="ListParagraph"/>
        <w:numPr>
          <w:ilvl w:val="0"/>
          <w:numId w:val="2"/>
        </w:numPr>
        <w:spacing w:after="200"/>
      </w:pPr>
      <w:r>
        <w:rPr>
          <w:rFonts w:ascii="Arial" w:cs="Arial" w:eastAsia="Arial" w:hAnsi="Arial"/>
          <w:sz w:val="24"/>
          <w:szCs w:val="24"/>
        </w:rPr>
        <w:t xml:space="preserve">Improvements: a choropleth world map, a downloadable filtered CSV button, and incorporation of 2023–2024 ILO data would all strengthen the product.</w:t>
      </w:r>
    </w:p>
    <w:p>
      <w:pPr>
        <w:pStyle w:val="Heading1"/>
      </w:pPr>
      <w:r>
        <w:t xml:space="preserve">6. My Contribution, Decisions, and Learning</w:t>
      </w:r>
    </w:p>
    <w:p>
      <w:pPr>
        <w:spacing w:after="160"/>
      </w:pPr>
      <w:r>
        <w:rPr>
          <w:rFonts w:ascii="Arial" w:cs="Arial" w:eastAsia="Arial" w:hAnsi="Arial"/>
          <w:sz w:val="24"/>
          <w:szCs w:val="24"/>
        </w:rPr>
        <w:t xml:space="preserve">Track 4 extends the analytical work from my Track 2 notebook by transforming the static analysis into a fully interactive, user-driven tool. The decision to build a Streamlit app rather than simply re-packaging the notebook was deliberate: the value of interactivity is that different users — a student interested in their own country, a researcher focused on a particular region — can get personalised insights from the same codebase.</w:t>
      </w:r>
    </w:p>
    <w:p>
      <w:pPr>
        <w:spacing w:after="160"/>
      </w:pPr>
      <w:r>
        <w:rPr>
          <w:rFonts w:ascii="Arial" w:cs="Arial" w:eastAsia="Arial" w:hAnsi="Arial"/>
          <w:sz w:val="24"/>
          <w:szCs w:val="24"/>
        </w:rPr>
        <w:t xml:space="preserve">I made several key design decisions independently. I chose a four-tab layout to separate concerns cleanly rather than putting everything on one scrolling page. I decided to inject custom CSS to give the app a professional dashboard look, because the default Streamlit styling does not clearly communicate analytical quality to a first-time viewer. I used @st.cache_data deliberately after observing that the merge and feature engineering steps caused a noticeable delay on each interaction when not cached.</w:t>
      </w:r>
    </w:p>
    <w:p>
      <w:pPr>
        <w:spacing w:after="200"/>
      </w:pPr>
      <w:r>
        <w:rPr>
          <w:rFonts w:ascii="Arial" w:cs="Arial" w:eastAsia="Arial" w:hAnsi="Arial"/>
          <w:sz w:val="24"/>
          <w:szCs w:val="24"/>
        </w:rPr>
        <w:t xml:space="preserve">The main learning from Track 4 was that building for interactivity requires thinking about the user’s journey, not just the analysis. I had to consider which filters should be global (affecting all tabs) versus local, and how to write insight text that updates dynamically with the user’s selection rather than just being hard-coded. These are skills I had not practised before and that I believe are directly relevant to professional data work.</w:t>
      </w:r>
    </w:p>
    <w:p>
      <w:pPr>
        <w:spacing w:after="400"/>
      </w:pPr>
      <w:r>
        <w:rPr>
          <w:rFonts w:ascii="Arial" w:cs="Arial" w:eastAsia="Arial" w:hAnsi="Arial"/>
          <w:i/>
          <w:iCs/>
          <w:color w:val="777777"/>
          <w:sz w:val="20"/>
          <w:szCs w:val="20"/>
        </w:rPr>
        <w:t xml:space="preserve">Word count (Sections 1–6): approximately 650 words.</w:t>
      </w:r>
    </w:p>
    <w:p>
      <w:pPr>
        <w:pStyle w:val="Heading1"/>
      </w:pPr>
      <w:r>
        <w:t xml:space="preserve">AI Disclosure</w:t>
      </w:r>
    </w:p>
    <w:p>
      <w:pPr>
        <w:spacing w:after="120"/>
      </w:pPr>
      <w:r>
        <w:rPr>
          <w:rFonts w:ascii="Arial" w:cs="Arial" w:eastAsia="Arial" w:hAnsi="Arial"/>
          <w:sz w:val="24"/>
          <w:szCs w:val="24"/>
        </w:rPr>
        <w:t xml:space="preserve">In accordance with the ACC102 AI Disclosure requirement, I declare the following AI use:</w:t>
      </w:r>
    </w:p>
    <w:p>
      <w:pPr>
        <w:pStyle w:val="ListParagraph"/>
        <w:numPr>
          <w:ilvl w:val="0"/>
          <w:numId w:val="2"/>
        </w:numPr>
        <w:spacing w:after="80"/>
      </w:pPr>
      <w:r>
        <w:rPr>
          <w:rFonts w:ascii="Arial" w:cs="Arial" w:eastAsia="Arial" w:hAnsi="Arial"/>
          <w:b w:val="false"/>
          <w:bCs w:val="false"/>
          <w:sz w:val="24"/>
          <w:szCs w:val="24"/>
        </w:rPr>
        <w:t xml:space="preserve">Tool: Claude (Anthropic) — Model: Claude Sonnet 4, accessed April 2025.</w:t>
      </w:r>
    </w:p>
    <w:p>
      <w:pPr>
        <w:pStyle w:val="ListParagraph"/>
        <w:numPr>
          <w:ilvl w:val="0"/>
          <w:numId w:val="2"/>
        </w:numPr>
        <w:spacing w:after="80"/>
      </w:pPr>
      <w:r>
        <w:rPr>
          <w:rFonts w:ascii="Arial" w:cs="Arial" w:eastAsia="Arial" w:hAnsi="Arial"/>
          <w:sz w:val="24"/>
          <w:szCs w:val="24"/>
        </w:rPr>
        <w:t xml:space="preserve">Used for: drafting and editing this reflection report; suggesting the four-tab app layout structure; helping debug a Streamlit caching issue where filters were not updating charts correctly.</w:t>
      </w:r>
    </w:p>
    <w:p>
      <w:pPr>
        <w:pStyle w:val="ListParagraph"/>
        <w:numPr>
          <w:ilvl w:val="0"/>
          <w:numId w:val="2"/>
        </w:numPr>
        <w:spacing w:after="200"/>
      </w:pPr>
      <w:r>
        <w:rPr>
          <w:rFonts w:ascii="Arial" w:cs="Arial" w:eastAsia="Arial" w:hAnsi="Arial"/>
          <w:sz w:val="24"/>
          <w:szCs w:val="24"/>
        </w:rPr>
        <w:t xml:space="preserve">Not used for: the core Python data processing logic, the region mapping, chart design choices, the CSS styling approach, interpretation of findings, or the research question. All code was written, run, and verified by me.</w:t>
      </w:r>
    </w:p>
    <w:p>
      <w:pPr>
        <w:spacing w:after="0"/>
      </w:pPr>
      <w:r>
        <w:rPr>
          <w:rFonts w:ascii="Arial" w:cs="Arial" w:eastAsia="Arial" w:hAnsi="Arial"/>
          <w:sz w:val="24"/>
          <w:szCs w:val="24"/>
        </w:rPr>
        <w:t xml:space="preserve">I have read and understood every line of app.py and can explain each component independently.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2026-04-23T02:20:12.995Z</dcterms:created>
  <dcterms:modified xsi:type="dcterms:W3CDTF">2026-04-23T02:20:12.996Z</dcterms:modified>
</cp:coreProperties>
</file>

<file path=docProps/custom.xml><?xml version="1.0" encoding="utf-8"?>
<Properties xmlns="http://schemas.openxmlformats.org/officeDocument/2006/custom-properties" xmlns:vt="http://schemas.openxmlformats.org/officeDocument/2006/docPropsVTypes"/>
</file>