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Struct-X</w:t>
      </w:r>
    </w:p>
    <w:p>
      <w:pPr>
        <w:jc w:val="center"/>
      </w:pPr>
      <w:r>
        <w:rPr>
          <w:b/>
        </w:rPr>
        <w:t>Physics-Aware Event Vision for Robust Non-Contact Structural Vibration Monitoring</w:t>
      </w:r>
    </w:p>
    <w:p>
      <w:pPr>
        <w:jc w:val="center"/>
      </w:pPr>
      <w:r>
        <w:rPr>
          <w:i/>
        </w:rPr>
        <w:t>Project Proposal — simplified version</w:t>
      </w:r>
    </w:p>
    <w:p>
      <w:pPr>
        <w:pStyle w:val="Heading1"/>
      </w:pPr>
      <w:r>
        <w:t>1. Project Overview</w:t>
      </w:r>
    </w:p>
    <w:p>
      <w:r>
        <w:t>Struct-X is a computer-vision and machine-learning project for estimating structural vibration from an event camera without physical contact. The model uses real event-camera recordings and laser vibrometer measurements from the XJTU-DV-Beam dataset. The main research focus is robustness: whether a model trained under one sensing condition can still estimate vibration when illumination or event-camera settings change.</w:t>
      </w:r>
    </w:p>
    <w:p>
      <w:pPr>
        <w:pStyle w:val="Heading1"/>
      </w:pPr>
      <w:r>
        <w:t>2. Problem Statement</w:t>
      </w:r>
    </w:p>
    <w:p>
      <w:r>
        <w:t>Structural vibration is an important signal for monitoring the condition of mechanical and civil structures. Traditional sensors such as accelerometers and laser vibrometers can provide accurate measurements, but they require physical placement or line-of-sight instrumentation. Event cameras provide asynchronous measurements of brightness changes and are well suited to high-speed motion and vibration because of their very high temporal resolution and low motion blur. However, event-based measurements can change substantially with sensing conditions such as illumination and camera parameters.</w:t>
      </w:r>
    </w:p>
    <w:p>
      <w:r>
        <w:t>The project therefore asks a focused question: Can a deep spatiotemporal model learn the relationship between event-camera observations and true structural vibration, while remaining robust when the sensing conditions change?</w:t>
      </w:r>
    </w:p>
    <w:p>
      <w:r>
        <w:t>Important scope decision: this project is about vibration estimation and sensing robustness, not structural-damage classification. The selected Beam dataset does not provide damage labels. This avoids making a claim that the dataset cannot support.</w:t>
      </w:r>
    </w:p>
    <w:p>
      <w:pPr>
        <w:pStyle w:val="Heading1"/>
      </w:pPr>
      <w:r>
        <w:t>3. Dataset</w:t>
      </w:r>
    </w:p>
    <w:p>
      <w:r>
        <w:t>Primary dataset: XJTU-DV, an open-source dynamic-vision dataset. The Beam subset contains event-camera data from a structural beam system together with corresponding laser vibrometer measurements used as ground truth. The dataset is publicly downloadable.</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Project use</w:t>
            </w:r>
          </w:p>
        </w:tc>
      </w:tr>
      <w:tr>
        <w:tc>
          <w:tcPr>
            <w:tcW w:type="dxa" w:w="5040"/>
          </w:tcPr>
          <w:p>
            <w:r>
              <w:t>Event camera</w:t>
            </w:r>
          </w:p>
        </w:tc>
        <w:tc>
          <w:tcPr>
            <w:tcW w:type="dxa" w:w="5040"/>
          </w:tcPr>
          <w:p>
            <w:r>
              <w:t>Primary input</w:t>
            </w:r>
          </w:p>
        </w:tc>
      </w:tr>
      <w:tr>
        <w:tc>
          <w:tcPr>
            <w:tcW w:type="dxa" w:w="5040"/>
          </w:tcPr>
          <w:p>
            <w:r>
              <w:t>Laser Doppler Vibrometer (LDV)</w:t>
            </w:r>
          </w:p>
        </w:tc>
        <w:tc>
          <w:tcPr>
            <w:tcW w:type="dxa" w:w="5040"/>
          </w:tcPr>
          <w:p>
            <w:r>
              <w:t>Ground-truth vibration measurement</w:t>
            </w:r>
          </w:p>
        </w:tc>
      </w:tr>
      <w:tr>
        <w:tc>
          <w:tcPr>
            <w:tcW w:type="dxa" w:w="5040"/>
          </w:tcPr>
          <w:p>
            <w:r>
              <w:t>Structural beam</w:t>
            </w:r>
          </w:p>
        </w:tc>
        <w:tc>
          <w:tcPr>
            <w:tcW w:type="dxa" w:w="5040"/>
          </w:tcPr>
          <w:p>
            <w:r>
              <w:t>Experimental physical system</w:t>
            </w:r>
          </w:p>
        </w:tc>
      </w:tr>
      <w:tr>
        <w:tc>
          <w:tcPr>
            <w:tcW w:type="dxa" w:w="5040"/>
          </w:tcPr>
          <w:p>
            <w:r>
              <w:t>Different acquisition conditions</w:t>
            </w:r>
          </w:p>
        </w:tc>
        <w:tc>
          <w:tcPr>
            <w:tcW w:type="dxa" w:w="5040"/>
          </w:tcPr>
          <w:p>
            <w:r>
              <w:t>Domain-shift robustness experiments</w:t>
            </w:r>
          </w:p>
        </w:tc>
      </w:tr>
      <w:tr>
        <w:tc>
          <w:tcPr>
            <w:tcW w:type="dxa" w:w="5040"/>
          </w:tcPr>
          <w:p>
            <w:r>
              <w:t>30 total Beam recordings</w:t>
            </w:r>
          </w:p>
        </w:tc>
        <w:tc>
          <w:tcPr>
            <w:tcW w:type="dxa" w:w="5040"/>
          </w:tcPr>
          <w:p>
            <w:r>
              <w:t>Small-data constraint; use careful windowing and trial-level evaluation</w:t>
            </w:r>
          </w:p>
        </w:tc>
      </w:tr>
      <w:tr>
        <w:tc>
          <w:tcPr>
            <w:tcW w:type="dxa" w:w="5040"/>
          </w:tcPr>
          <w:p>
            <w:r>
              <w:t>Public download</w:t>
            </w:r>
          </w:p>
        </w:tc>
        <w:tc>
          <w:tcPr>
            <w:tcW w:type="dxa" w:w="5040"/>
          </w:tcPr>
          <w:p>
            <w:r>
              <w:t>Reproducible project setup</w:t>
            </w:r>
          </w:p>
        </w:tc>
      </w:tr>
    </w:tbl>
    <w:p>
      <w:r>
        <w:t>Data-volume caution: the Beam subset is small at the recording/trial level. We therefore do not train a Transformer from scratch. Continuous recordings can be windowed into temporal segments, but train/test splitting must remain at the recording/trial level to avoid leakage. Results should be reported with trial-level variation, not only a single aggregate number.</w:t>
      </w:r>
    </w:p>
    <w:p>
      <w:pPr>
        <w:pStyle w:val="Heading1"/>
      </w:pPr>
      <w:r>
        <w:t>4. Core Approach</w:t>
      </w:r>
    </w:p>
    <w:p>
      <w:pPr>
        <w:pStyle w:val="ListBullet"/>
      </w:pPr>
      <w:r>
        <w:t>Convert asynchronous event streams into a model-friendly representation such as event voxel grids or time surfaces.</w:t>
      </w:r>
    </w:p>
    <w:p>
      <w:pPr>
        <w:pStyle w:val="ListBullet"/>
      </w:pPr>
      <w:r>
        <w:t>Use a pretrained or lightweight Event Vision Transformer to learn spatial-temporal patterns from events.</w:t>
      </w:r>
    </w:p>
    <w:p>
      <w:pPr>
        <w:pStyle w:val="ListBullet"/>
      </w:pPr>
      <w:r>
        <w:t>Predict the vibration waveform measured by the LDV and estimate important vibration characteristics such as dominant frequency.</w:t>
      </w:r>
    </w:p>
    <w:p>
      <w:pPr>
        <w:pStyle w:val="ListBullet"/>
      </w:pPr>
      <w:r>
        <w:t>Add a physics-aware loss based on a reduced-order damped vibration model rather than an undefined generic physics residual.</w:t>
      </w:r>
    </w:p>
    <w:p>
      <w:pPr>
        <w:pStyle w:val="ListBullet"/>
      </w:pPr>
      <w:r>
        <w:t>Evaluate robustness across different illumination and event-camera settings.</w:t>
      </w:r>
    </w:p>
    <w:p>
      <w:pPr>
        <w:pStyle w:val="ListBullet"/>
      </w:pPr>
      <w:r>
        <w:t>Use contrastive learning as an optional extension to make representations more invariant to sensing-condition changes.</w:t>
      </w:r>
    </w:p>
    <w:p>
      <w:pPr>
        <w:pStyle w:val="Heading1"/>
      </w:pPr>
      <w:r>
        <w:t>5. Novelty / Research Twist</w:t>
      </w:r>
    </w:p>
    <w:p>
      <w:r>
        <w:t>The individual components are not claimed as new. Event-based vision, Transformers, physics-informed learning, and structural vibration monitoring all have prior research. The intended novelty is the focused combination and evaluation of:</w:t>
      </w:r>
    </w:p>
    <w:p>
      <w:pPr>
        <w:pStyle w:val="ListBullet"/>
      </w:pPr>
      <w:r>
        <w:t>event-driven spatiotemporal representation learning for structural vibration;</w:t>
      </w:r>
    </w:p>
    <w:p>
      <w:pPr>
        <w:pStyle w:val="ListBullet"/>
      </w:pPr>
      <w:r>
        <w:t>physics-constrained vibration prediction using LDV as real ground truth; and</w:t>
      </w:r>
    </w:p>
    <w:p>
      <w:pPr>
        <w:pStyle w:val="ListBullet"/>
      </w:pPr>
      <w:r>
        <w:t>robustness testing under unseen acquisition conditions rather than only random train/test splits.</w:t>
      </w:r>
    </w:p>
    <w:p>
      <w:r>
        <w:t>The contribution is therefore best framed as a small-scale feasibility study on physics-aware event-vision vibration estimation, not as a universal structural-damage benchmark.</w:t>
      </w:r>
    </w:p>
    <w:p>
      <w:pPr>
        <w:pStyle w:val="Heading1"/>
      </w:pPr>
      <w:r>
        <w:t>6. Physics Model and Formulas</w:t>
      </w:r>
    </w:p>
    <w:p>
      <w:r>
        <w:t>A simple damped single-mode vibration model is used as the first physical prior:</w:t>
      </w:r>
    </w:p>
    <w:p>
      <w:pPr>
        <w:jc w:val="center"/>
      </w:pPr>
      <w:r>
        <w:rPr>
          <w:b/>
        </w:rPr>
        <w:t>m q¨(t) + c q˙(t) + k q(t) = f(t)</w:t>
      </w:r>
    </w:p>
    <w:p>
      <w:r>
        <w:t>For free vibration, f(t) ≈ 0. The corresponding natural frequency is:</w:t>
      </w:r>
    </w:p>
    <w:p>
      <w:pPr>
        <w:jc w:val="center"/>
      </w:pPr>
      <w:r>
        <w:rPr>
          <w:b/>
        </w:rPr>
        <w:t>fₙ = (1 / 2π) √(k / m)</w:t>
      </w:r>
    </w:p>
    <w:p>
      <w:r>
        <w:t>The model predicts a vibration trajectory q̂(t) or a related displacement/velocity signal. The physics loss penalizes disagreement between the predicted trajectory and the selected reduced-order dynamic equation.</w:t>
      </w:r>
    </w:p>
    <w:p>
      <w:pPr>
        <w:jc w:val="center"/>
      </w:pPr>
      <w:r>
        <w:rPr>
          <w:b/>
        </w:rPr>
        <w:t>L_total = L_LDV + λ_phys L_physics + λ_temp L_temporal</w:t>
      </w:r>
    </w:p>
    <w:p>
      <w:r>
        <w:t>L_LDV measures error against the LDV ground truth. L_physics measures violation of the chosen vibration model. L_temporal encourages smooth and consistent temporal evolution. If contrastive learning is used, an additional L_contrastive term can be added.</w:t>
      </w:r>
    </w:p>
    <w:p>
      <w:pPr>
        <w:pStyle w:val="Heading1"/>
      </w:pPr>
      <w:r>
        <w:t>7. Architecture</w:t>
      </w:r>
    </w:p>
    <w:p>
      <w:r>
        <w:t>High-level pipeline:</w:t>
      </w:r>
    </w:p>
    <w:p>
      <w:pPr>
        <w:jc w:val="center"/>
      </w:pPr>
      <w:r>
        <w:rPr>
          <w:b/>
        </w:rPr>
        <w:t>Event Stream → Event Representation → Event/Spatiotemporal Transformer → Latent Vibration State → Vibration/Frequency Heads → Physics Constraint → Final Prediction</w:t>
      </w:r>
    </w:p>
    <w:p>
      <w:r>
        <w:t>Detailed flow:</w:t>
      </w:r>
    </w:p>
    <w:p>
      <w:pPr>
        <w:pStyle w:val="ListBullet"/>
      </w:pPr>
      <w:r>
        <w:t>Event stream: (x, y, t, polarity).</w:t>
      </w:r>
    </w:p>
    <w:p>
      <w:pPr>
        <w:pStyle w:val="ListBullet"/>
      </w:pPr>
      <w:r>
        <w:t>Preprocessing: temporal windowing, normalization, event voxel/time-surface construction.</w:t>
      </w:r>
    </w:p>
    <w:p>
      <w:pPr>
        <w:pStyle w:val="ListBullet"/>
      </w:pPr>
      <w:r>
        <w:t>CV encoder: pretrained or lightweight Event Transformer; avoid training a large ViT from scratch on the small dataset.</w:t>
      </w:r>
    </w:p>
    <w:p>
      <w:pPr>
        <w:pStyle w:val="ListBullet"/>
      </w:pPr>
      <w:r>
        <w:t>Temporal representation: attention over event-spatial and temporal patterns.</w:t>
      </w:r>
    </w:p>
    <w:p>
      <w:pPr>
        <w:pStyle w:val="ListBullet"/>
      </w:pPr>
      <w:r>
        <w:t>Prediction heads: reconstructed vibration signal, dominant frequency, and optional damping estimate.</w:t>
      </w:r>
    </w:p>
    <w:p>
      <w:pPr>
        <w:pStyle w:val="ListBullet"/>
      </w:pPr>
      <w:r>
        <w:t>Physics layer: reduced-order vibration consistency loss.</w:t>
      </w:r>
    </w:p>
    <w:p>
      <w:pPr>
        <w:pStyle w:val="ListBullet"/>
      </w:pPr>
      <w:r>
        <w:t>Output: vibration estimate, frequency estimate, reconstruction error, and robustness/anomaly indicator.</w:t>
      </w:r>
    </w:p>
    <w:p>
      <w:pPr>
        <w:pStyle w:val="Heading1"/>
      </w:pPr>
      <w:r>
        <w:t>8. Simple Architecture Diagram</w:t>
      </w:r>
    </w:p>
    <w:p>
      <w:pPr>
        <w:jc w:val="center"/>
      </w:pPr>
      <w:r>
        <w:t>[ Event Camera ]</w:t>
      </w:r>
    </w:p>
    <w:p>
      <w:pPr>
        <w:jc w:val="center"/>
      </w:pPr>
      <w:r>
        <w:t xml:space="preserve">       ↓</w:t>
      </w:r>
    </w:p>
    <w:p>
      <w:pPr>
        <w:jc w:val="center"/>
      </w:pPr>
      <w:r>
        <w:t>[ Event Voxel / Time Surface ]</w:t>
      </w:r>
    </w:p>
    <w:p>
      <w:pPr>
        <w:jc w:val="center"/>
      </w:pPr>
      <w:r>
        <w:t xml:space="preserve">       ↓</w:t>
      </w:r>
    </w:p>
    <w:p>
      <w:pPr>
        <w:jc w:val="center"/>
      </w:pPr>
      <w:r>
        <w:t>[ Event Vision Transformer ]</w:t>
      </w:r>
    </w:p>
    <w:p>
      <w:pPr>
        <w:jc w:val="center"/>
      </w:pPr>
      <w:r>
        <w:t xml:space="preserve">       ↓</w:t>
      </w:r>
    </w:p>
    <w:p>
      <w:pPr>
        <w:jc w:val="center"/>
      </w:pPr>
      <w:r>
        <w:t>[ Spatiotemporal Latent State zₜ ]</w:t>
      </w:r>
    </w:p>
    <w:p>
      <w:pPr>
        <w:jc w:val="center"/>
      </w:pPr>
      <w:r>
        <w:t xml:space="preserve">       ↓</w:t>
      </w:r>
    </w:p>
    <w:p>
      <w:pPr>
        <w:jc w:val="center"/>
      </w:pPr>
      <w:r>
        <w:t xml:space="preserve"> ┌───────────────┬────────────────┐</w:t>
      </w:r>
    </w:p>
    <w:p>
      <w:pPr>
        <w:jc w:val="center"/>
      </w:pPr>
      <w:r>
        <w:t xml:space="preserve"> ↓               ↓                ↓</w:t>
      </w:r>
    </w:p>
    <w:p>
      <w:pPr>
        <w:jc w:val="center"/>
      </w:pPr>
      <w:r>
        <w:t>[Vibration]   [Frequency]   [Confidence]</w:t>
      </w:r>
    </w:p>
    <w:p>
      <w:pPr>
        <w:jc w:val="center"/>
      </w:pPr>
      <w:r>
        <w:t xml:space="preserve"> └───────────────┴────────────────┘</w:t>
      </w:r>
    </w:p>
    <w:p>
      <w:pPr>
        <w:jc w:val="center"/>
      </w:pPr>
      <w:r>
        <w:t xml:space="preserve">       ↓</w:t>
      </w:r>
    </w:p>
    <w:p>
      <w:pPr>
        <w:jc w:val="center"/>
      </w:pPr>
      <w:r>
        <w:t>[ Physics Consistency Layer ]</w:t>
      </w:r>
    </w:p>
    <w:p>
      <w:pPr>
        <w:jc w:val="center"/>
      </w:pPr>
      <w:r>
        <w:t xml:space="preserve">       ↓</w:t>
      </w:r>
    </w:p>
    <w:p>
      <w:pPr>
        <w:jc w:val="center"/>
      </w:pPr>
      <w:r>
        <w:t>[ Final Vibration Estimate ]</w:t>
      </w:r>
    </w:p>
    <w:p>
      <w:pPr>
        <w:jc w:val="center"/>
      </w:pPr>
      <w:r>
        <w:t xml:space="preserve">       ↓</w:t>
      </w:r>
    </w:p>
    <w:p>
      <w:pPr>
        <w:jc w:val="center"/>
      </w:pPr>
      <w:r>
        <w:t>[ Compare with LDV Ground Truth ]</w:t>
      </w:r>
    </w:p>
    <w:p>
      <w:pPr>
        <w:pStyle w:val="Heading1"/>
      </w:pPr>
      <w:r>
        <w:t>9. Experimental Design</w:t>
      </w:r>
    </w:p>
    <w:p>
      <w:r>
        <w:t>The central experiment is domain shift across acquisition conditions. Examples include training on one illumination/camera configuration and testing on another. Because the number of independent recordings is small, the split must be performed by complete trials/recordings rather than randomly splitting overlapping windows.</w:t>
      </w:r>
    </w:p>
    <w:tbl>
      <w:tblPr>
        <w:tblStyle w:val="TableGrid"/>
        <w:tblW w:type="auto" w:w="0"/>
        <w:tblLook w:firstColumn="1" w:firstRow="1" w:lastColumn="0" w:lastRow="0" w:noHBand="0" w:noVBand="1" w:val="04A0"/>
      </w:tblPr>
      <w:tblGrid>
        <w:gridCol w:w="3360"/>
        <w:gridCol w:w="3360"/>
        <w:gridCol w:w="3360"/>
      </w:tblGrid>
      <w:tr>
        <w:tc>
          <w:tcPr>
            <w:tcW w:type="dxa" w:w="3360"/>
          </w:tcPr>
          <w:p>
            <w:r>
              <w:t>Experiment</w:t>
            </w:r>
          </w:p>
        </w:tc>
        <w:tc>
          <w:tcPr>
            <w:tcW w:type="dxa" w:w="3360"/>
          </w:tcPr>
          <w:p>
            <w:r>
              <w:t>Train</w:t>
            </w:r>
          </w:p>
        </w:tc>
        <w:tc>
          <w:tcPr>
            <w:tcW w:type="dxa" w:w="3360"/>
          </w:tcPr>
          <w:p>
            <w:r>
              <w:t>Test</w:t>
            </w:r>
          </w:p>
        </w:tc>
      </w:tr>
      <w:tr>
        <w:tc>
          <w:tcPr>
            <w:tcW w:type="dxa" w:w="3360"/>
          </w:tcPr>
          <w:p>
            <w:r>
              <w:t>Within-condition baseline</w:t>
            </w:r>
          </w:p>
        </w:tc>
        <w:tc>
          <w:tcPr>
            <w:tcW w:type="dxa" w:w="3360"/>
          </w:tcPr>
          <w:p>
            <w:r>
              <w:t>Condition A</w:t>
            </w:r>
          </w:p>
        </w:tc>
        <w:tc>
          <w:tcPr>
            <w:tcW w:type="dxa" w:w="3360"/>
          </w:tcPr>
          <w:p>
            <w:r>
              <w:t>Condition A held-out trials</w:t>
            </w:r>
          </w:p>
        </w:tc>
      </w:tr>
      <w:tr>
        <w:tc>
          <w:tcPr>
            <w:tcW w:type="dxa" w:w="3360"/>
          </w:tcPr>
          <w:p>
            <w:r>
              <w:t>Illumination shift</w:t>
            </w:r>
          </w:p>
        </w:tc>
        <w:tc>
          <w:tcPr>
            <w:tcW w:type="dxa" w:w="3360"/>
          </w:tcPr>
          <w:p>
            <w:r>
              <w:t>Low</w:t>
            </w:r>
          </w:p>
        </w:tc>
        <w:tc>
          <w:tcPr>
            <w:tcW w:type="dxa" w:w="3360"/>
          </w:tcPr>
          <w:p>
            <w:r>
              <w:t>High</w:t>
            </w:r>
          </w:p>
        </w:tc>
      </w:tr>
      <w:tr>
        <w:tc>
          <w:tcPr>
            <w:tcW w:type="dxa" w:w="3360"/>
          </w:tcPr>
          <w:p>
            <w:r>
              <w:t>Camera-setting shift</w:t>
            </w:r>
          </w:p>
        </w:tc>
        <w:tc>
          <w:tcPr>
            <w:tcW w:type="dxa" w:w="3360"/>
          </w:tcPr>
          <w:p>
            <w:r>
              <w:t>Configuration 1</w:t>
            </w:r>
          </w:p>
        </w:tc>
        <w:tc>
          <w:tcPr>
            <w:tcW w:type="dxa" w:w="3360"/>
          </w:tcPr>
          <w:p>
            <w:r>
              <w:t>Configuration 2/3</w:t>
            </w:r>
          </w:p>
        </w:tc>
      </w:tr>
      <w:tr>
        <w:tc>
          <w:tcPr>
            <w:tcW w:type="dxa" w:w="3360"/>
          </w:tcPr>
          <w:p>
            <w:r>
              <w:t>Combined shift</w:t>
            </w:r>
          </w:p>
        </w:tc>
        <w:tc>
          <w:tcPr>
            <w:tcW w:type="dxa" w:w="3360"/>
          </w:tcPr>
          <w:p>
            <w:r>
              <w:t>One condition</w:t>
            </w:r>
          </w:p>
        </w:tc>
        <w:tc>
          <w:tcPr>
            <w:tcW w:type="dxa" w:w="3360"/>
          </w:tcPr>
          <w:p>
            <w:r>
              <w:t>Different illumination + configuration</w:t>
            </w:r>
          </w:p>
        </w:tc>
      </w:tr>
    </w:tbl>
    <w:p>
      <w:pPr>
        <w:pStyle w:val="Heading1"/>
      </w:pPr>
      <w:r>
        <w:t>10. Evaluation Metrics</w:t>
      </w:r>
    </w:p>
    <w:p>
      <w:pPr>
        <w:pStyle w:val="ListBullet"/>
      </w:pPr>
      <w:r>
        <w:t>Waveform RMSE / MAE: how close the predicted vibration signal is to LDV.</w:t>
      </w:r>
    </w:p>
    <w:p>
      <w:pPr>
        <w:pStyle w:val="ListBullet"/>
      </w:pPr>
      <w:r>
        <w:t>Correlation: agreement between predicted and measured temporal responses.</w:t>
      </w:r>
    </w:p>
    <w:p>
      <w:pPr>
        <w:pStyle w:val="ListBullet"/>
      </w:pPr>
      <w:r>
        <w:t>Frequency error: |f_pred − f_LDV| / f_LDV.</w:t>
      </w:r>
    </w:p>
    <w:p>
      <w:pPr>
        <w:pStyle w:val="ListBullet"/>
      </w:pPr>
      <w:r>
        <w:t>Physics residual: normalized violation of the reduced-order vibration model.</w:t>
      </w:r>
    </w:p>
    <w:p>
      <w:pPr>
        <w:pStyle w:val="ListBullet"/>
      </w:pPr>
      <w:r>
        <w:t>Robustness gap: change in performance between matched and shifted sensing conditions.</w:t>
      </w:r>
    </w:p>
    <w:p>
      <w:pPr>
        <w:pStyle w:val="ListBullet"/>
      </w:pPr>
      <w:r>
        <w:t>Mean ± standard deviation across independent trials/conditions.</w:t>
      </w:r>
    </w:p>
    <w:p>
      <w:pPr>
        <w:pStyle w:val="Heading1"/>
      </w:pPr>
      <w:r>
        <w:t>11. Baselines</w:t>
      </w:r>
    </w:p>
    <w:p>
      <w:pPr>
        <w:pStyle w:val="ListBullet"/>
      </w:pPr>
      <w:r>
        <w:t>Signal-processing baseline: event representation + FFT / conventional vibration feature extraction.</w:t>
      </w:r>
    </w:p>
    <w:p>
      <w:pPr>
        <w:pStyle w:val="ListBullet"/>
      </w:pPr>
      <w:r>
        <w:t>CNN baseline using event representations.</w:t>
      </w:r>
    </w:p>
    <w:p>
      <w:pPr>
        <w:pStyle w:val="ListBullet"/>
      </w:pPr>
      <w:r>
        <w:t>Transformer baseline without physics loss.</w:t>
      </w:r>
    </w:p>
    <w:p>
      <w:pPr>
        <w:pStyle w:val="ListBullet"/>
      </w:pPr>
      <w:r>
        <w:t>Physics-aware Transformer (proposed core model).</w:t>
      </w:r>
    </w:p>
    <w:p>
      <w:pPr>
        <w:pStyle w:val="ListBullet"/>
      </w:pPr>
      <w:r>
        <w:t>Optional: physics-aware Transformer + contrastive learning.</w:t>
      </w:r>
    </w:p>
    <w:p>
      <w:pPr>
        <w:pStyle w:val="Heading1"/>
      </w:pPr>
      <w:r>
        <w:t>12. Expected Result</w:t>
      </w:r>
    </w:p>
    <w:p>
      <w:r>
        <w:t>The expected result is not a guaranteed numerical score. The hypothesis is that the proposed physics-aware temporal model will estimate vibration accurately on held-out trials and degrade less under unseen sensing conditions than a purely data-driven model.</w:t>
      </w:r>
    </w:p>
    <w:p>
      <w:r>
        <w:t>A successful outcome would show: (1) low vibration reconstruction error relative to LDV, (2) accurate dominant-frequency estimation, and (3) a smaller performance drop under illumination/camera-parameter shifts when physics-aware training is used.</w:t>
      </w:r>
    </w:p>
    <w:p>
      <w:pPr>
        <w:pStyle w:val="Heading1"/>
      </w:pPr>
      <w:r>
        <w:t>13. Limitations</w:t>
      </w:r>
    </w:p>
    <w:p>
      <w:pPr>
        <w:pStyle w:val="ListBullet"/>
      </w:pPr>
      <w:r>
        <w:t>The Beam subset is small, so this is a feasibility study rather than a large-scale benchmark.</w:t>
      </w:r>
    </w:p>
    <w:p>
      <w:pPr>
        <w:pStyle w:val="ListBullet"/>
      </w:pPr>
      <w:r>
        <w:t>The Beam subset is a single physical system; no broad cross-structure generalization claim is justified.</w:t>
      </w:r>
    </w:p>
    <w:p>
      <w:pPr>
        <w:pStyle w:val="ListBullet"/>
      </w:pPr>
      <w:r>
        <w:t>The core dataset does not provide damage labels, so the project cannot claim validated damage diagnosis.</w:t>
      </w:r>
    </w:p>
    <w:p>
      <w:pPr>
        <w:pStyle w:val="ListBullet"/>
      </w:pPr>
      <w:r>
        <w:t>Synthetic or real event data differences should not be hidden; synthetic event generation is only an optional fallback.</w:t>
      </w:r>
    </w:p>
    <w:p>
      <w:pPr>
        <w:pStyle w:val="ListBullet"/>
      </w:pPr>
      <w:r>
        <w:t>Any safety-critical deployment would require substantially larger and more diverse field validation.</w:t>
      </w:r>
    </w:p>
    <w:p>
      <w:pPr>
        <w:pStyle w:val="Heading1"/>
      </w:pPr>
      <w:r>
        <w:t>14. Sources and Research Papers Used</w:t>
      </w:r>
    </w:p>
    <w:p>
      <w:r>
        <w:rPr>
          <w:b/>
        </w:rPr>
        <w:t xml:space="preserve">XJTU-DV dataset / companion paper: </w:t>
      </w:r>
      <w:r>
        <w:t xml:space="preserve">X. Li, S. Yu, X. Chen, Y. Lei, B. Yang, N. Li, “XJTU-DV: Open-Source Dynamic Vision Dataset for Non-Contact Vibration Measurement and Fault Diagnosis of Mechanical Systems,” Chinese Journal of Mechanical Engineering, 2026. </w:t>
      </w:r>
      <w:hyperlink r:id="rId9">
        <w:r>
          <w:rPr>
            <w:color w:val="0563C1"/>
            <w:u w:val="single"/>
          </w:rPr>
          <w:t>Link</w:t>
        </w:r>
      </w:hyperlink>
    </w:p>
    <w:p>
      <w:r>
        <w:rPr>
          <w:b/>
        </w:rPr>
        <w:t xml:space="preserve">Dataset download: </w:t>
      </w:r>
      <w:r>
        <w:t xml:space="preserve">XJTU-DV open dataset record (Zenodo), including XJTU-DV-Beam.zip. </w:t>
      </w:r>
      <w:hyperlink r:id="rId10">
        <w:r>
          <w:rPr>
            <w:color w:val="0563C1"/>
            <w:u w:val="single"/>
          </w:rPr>
          <w:t>Link</w:t>
        </w:r>
      </w:hyperlink>
    </w:p>
    <w:p>
      <w:r>
        <w:rPr>
          <w:b/>
        </w:rPr>
        <w:t xml:space="preserve">Event vision: </w:t>
      </w:r>
      <w:r>
        <w:t xml:space="preserve">G. Gallego et al., “Event-Based Vision: A Survey,” IEEE Transactions on Pattern Analysis and Machine Intelligence, 2022. </w:t>
      </w:r>
      <w:hyperlink r:id="rId11">
        <w:r>
          <w:rPr>
            <w:color w:val="0563C1"/>
            <w:u w:val="single"/>
          </w:rPr>
          <w:t>Link</w:t>
        </w:r>
      </w:hyperlink>
    </w:p>
    <w:p>
      <w:r>
        <w:rPr>
          <w:b/>
        </w:rPr>
        <w:t xml:space="preserve">Spatiotemporal Transformer: </w:t>
      </w:r>
      <w:r>
        <w:t xml:space="preserve">G. Bertasius, H. Wang, L. Torresani, “Is Space-Time Attention All You Need for Video Understanding?” ICML, 2021. </w:t>
      </w:r>
      <w:hyperlink r:id="rId12">
        <w:r>
          <w:rPr>
            <w:color w:val="0563C1"/>
            <w:u w:val="single"/>
          </w:rPr>
          <w:t>Link</w:t>
        </w:r>
      </w:hyperlink>
    </w:p>
    <w:p>
      <w:r>
        <w:rPr>
          <w:b/>
        </w:rPr>
        <w:t xml:space="preserve">PINNs: </w:t>
      </w:r>
      <w:r>
        <w:t xml:space="preserve">M. Raissi, P. Perdikaris, G. E. Karniadakis, “Physics-informed neural networks: A deep learning framework for solving forward and inverse problems involving nonlinear partial differential equations,” Journal of Computational Physics, 2019. </w:t>
      </w:r>
      <w:hyperlink r:id="rId13">
        <w:r>
          <w:rPr>
            <w:color w:val="0563C1"/>
            <w:u w:val="single"/>
          </w:rPr>
          <w:t>Link</w:t>
        </w:r>
      </w:hyperlink>
    </w:p>
    <w:p>
      <w:r>
        <w:rPr>
          <w:b/>
        </w:rPr>
        <w:t xml:space="preserve">Open-set SHM: </w:t>
      </w:r>
      <w:r>
        <w:t xml:space="preserve">M. Zhou, Z. Lai, “Structural damage classification under varying environmental conditions and unknown classes via open set domain adaptation,” Mechanical Systems and Signal Processing, 2024. </w:t>
      </w:r>
      <w:hyperlink r:id="rId14">
        <w:r>
          <w:rPr>
            <w:color w:val="0563C1"/>
            <w:u w:val="single"/>
          </w:rPr>
          <w:t>Link</w:t>
        </w:r>
      </w:hyperlink>
    </w:p>
    <w:p>
      <w:r>
        <w:rPr>
          <w:b/>
        </w:rPr>
        <w:t xml:space="preserve">Physics-guided SHM: </w:t>
      </w:r>
      <w:r>
        <w:t xml:space="preserve">“Structural damage identification by using physics-guided residual neural networks,” Engineering Structures, 2024. </w:t>
      </w:r>
      <w:hyperlink r:id="rId15">
        <w:r>
          <w:rPr>
            <w:color w:val="0563C1"/>
            <w:u w:val="single"/>
          </w:rPr>
          <w:t>Link</w:t>
        </w:r>
      </w:hyperlink>
    </w:p>
    <w:p>
      <w:r>
        <w:rPr>
          <w:b/>
        </w:rPr>
        <w:t xml:space="preserve">Computer vision + PINN: </w:t>
      </w:r>
      <w:r>
        <w:t xml:space="preserve">“Accurate structural displacement reconstruction from acceleration and computer vision measurements using physics-informed neural networks,” Mechanical Systems and Signal Processing, 2025. </w:t>
      </w:r>
      <w:hyperlink r:id="rId16">
        <w:r>
          <w:rPr>
            <w:color w:val="0563C1"/>
            <w:u w:val="single"/>
          </w:rPr>
          <w:t>Link</w:t>
        </w:r>
      </w:hyperlink>
    </w:p>
    <w:p>
      <w:r>
        <w:rPr>
          <w:b/>
        </w:rPr>
        <w:t xml:space="preserve">Event-based deformation: </w:t>
      </w:r>
      <w:r>
        <w:t xml:space="preserve">“Event-based Visual Deformation Measurement,” 2026. </w:t>
      </w:r>
      <w:hyperlink r:id="rId17">
        <w:r>
          <w:rPr>
            <w:color w:val="0563C1"/>
            <w:u w:val="single"/>
          </w:rPr>
          <w:t>Link</w:t>
        </w:r>
      </w:hyperlink>
    </w:p>
    <w:p>
      <w:pPr>
        <w:pStyle w:val="Heading1"/>
      </w:pPr>
      <w:r>
        <w:t>15. Final Research Question</w:t>
      </w:r>
    </w:p>
    <w:p>
      <w:r>
        <w:rPr>
          <w:b/>
        </w:rPr>
        <w:t>Can a physics-aware spatiotemporal event-vision model estimate structural vibration accurately from non-contact event data and remain robust when the sensing conditions differ from those used during training?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cjme.2025.100163" TargetMode="External"/><Relationship Id="rId10" Type="http://schemas.openxmlformats.org/officeDocument/2006/relationships/hyperlink" Target="https://zenodo.org/records/17447083" TargetMode="External"/><Relationship Id="rId11" Type="http://schemas.openxmlformats.org/officeDocument/2006/relationships/hyperlink" Target="https://doi.org/10.1109/TPAMI.2020.3008413" TargetMode="External"/><Relationship Id="rId12" Type="http://schemas.openxmlformats.org/officeDocument/2006/relationships/hyperlink" Target="https://proceedings.mlr.press/v139/bertasius21a.html" TargetMode="External"/><Relationship Id="rId13" Type="http://schemas.openxmlformats.org/officeDocument/2006/relationships/hyperlink" Target="https://doi.org/10.1016/j.jcp.2018.10.045" TargetMode="External"/><Relationship Id="rId14" Type="http://schemas.openxmlformats.org/officeDocument/2006/relationships/hyperlink" Target="https://doi.org/10.1016/j.ymssp.2024.111561" TargetMode="External"/><Relationship Id="rId15" Type="http://schemas.openxmlformats.org/officeDocument/2006/relationships/hyperlink" Target="https://doi.org/10.1016/j.engstruct.2024.118703" TargetMode="External"/><Relationship Id="rId16" Type="http://schemas.openxmlformats.org/officeDocument/2006/relationships/hyperlink" Target="https://doi.org/10.1016/j.ymssp.2025.112961" TargetMode="External"/><Relationship Id="rId17" Type="http://schemas.openxmlformats.org/officeDocument/2006/relationships/hyperlink" Target="https://arxiv.org/abs/2602.14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