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sz w:val="24"/>
          <w:szCs w:val="24"/>
        </w:rPr>
        <w:t xml:space="preserve">МИНИСТЕРСТВО НАУКИ И ВЫСШЕГО ОБРАЗОВАНИЯ РОССИЙСКОЙ ФЕДЕРАЦИИ</w:t>
      </w:r>
    </w:p>
    <w:p>
      <w:pPr>
        <w:spacing w:after="80"/>
        <w:jc w:val="center"/>
      </w:pPr>
      <w:r>
        <w:rPr>
          <w:rFonts w:ascii="Times New Roman" w:cs="Times New Roman" w:eastAsia="Times New Roman" w:hAnsi="Times New Roman"/>
          <w:sz w:val="24"/>
          <w:szCs w:val="24"/>
        </w:rPr>
        <w:t xml:space="preserve">Федеральное государственное бюджетное образовательное учреждение</w:t>
      </w:r>
    </w:p>
    <w:p>
      <w:pPr>
        <w:spacing w:after="80"/>
        <w:jc w:val="center"/>
      </w:pPr>
      <w:r>
        <w:rPr>
          <w:rFonts w:ascii="Times New Roman" w:cs="Times New Roman" w:eastAsia="Times New Roman" w:hAnsi="Times New Roman"/>
          <w:sz w:val="24"/>
          <w:szCs w:val="24"/>
        </w:rPr>
        <w:t xml:space="preserve">высшего образования</w:t>
      </w:r>
    </w:p>
    <w:p>
      <w:pPr>
        <w:spacing w:after="80"/>
        <w:jc w:val="center"/>
      </w:pPr>
      <w:r>
        <w:rPr>
          <w:rFonts w:ascii="Times New Roman" w:cs="Times New Roman" w:eastAsia="Times New Roman" w:hAnsi="Times New Roman"/>
          <w:b/>
          <w:bCs/>
          <w:sz w:val="26"/>
          <w:szCs w:val="26"/>
        </w:rPr>
        <w:t xml:space="preserve">«КУБАНСКИЙ ГОСУДАРСТВЕННЫЙ УНИВЕРСИТЕТ»</w:t>
      </w:r>
    </w:p>
    <w:p>
      <w:pPr>
        <w:spacing w:after="80"/>
        <w:jc w:val="center"/>
      </w:pPr>
      <w:r>
        <w:rPr>
          <w:rFonts w:ascii="Times New Roman" w:cs="Times New Roman" w:eastAsia="Times New Roman" w:hAnsi="Times New Roman"/>
          <w:b/>
          <w:bCs/>
          <w:sz w:val="26"/>
          <w:szCs w:val="26"/>
        </w:rPr>
        <w:t xml:space="preserve">(ФГБОУ ВО «КубГУ»)</w:t>
      </w:r>
    </w:p>
    <w:p>
      <w:pPr>
        <w:spacing w:after="80"/>
        <w:jc w:val="center"/>
      </w:pPr>
      <w:r>
        <w:rPr>
          <w:rFonts w:ascii="Times New Roman" w:cs="Times New Roman" w:eastAsia="Times New Roman" w:hAnsi="Times New Roman"/>
          <w:b/>
          <w:bCs/>
          <w:sz w:val="26"/>
          <w:szCs w:val="26"/>
        </w:rPr>
        <w:t xml:space="preserve">Факультет компьютерных технологий и прикладной математики</w:t>
      </w:r>
    </w:p>
    <w:p>
      <w:pPr>
        <w:spacing w:after="80"/>
        <w:jc w:val="center"/>
      </w:pPr>
      <w:r>
        <w:rPr>
          <w:rFonts w:ascii="Times New Roman" w:cs="Times New Roman" w:eastAsia="Times New Roman" w:hAnsi="Times New Roman"/>
          <w:b/>
          <w:bCs/>
          <w:sz w:val="26"/>
          <w:szCs w:val="26"/>
        </w:rPr>
        <w:t xml:space="preserve">Кафедра прикладной математики</w:t>
      </w:r>
    </w:p>
    <w:p>
      <w:pPr>
        <w:spacing w:after="400"/>
      </w:pPr>
      <w:r>
        <w:t xml:space="preserve"/>
      </w:r>
    </w:p>
    <w:p>
      <w:pPr>
        <w:spacing w:after="400"/>
      </w:pPr>
      <w:r>
        <w:t xml:space="preserve"/>
      </w:r>
    </w:p>
    <w:p>
      <w:pPr>
        <w:spacing w:after="80"/>
        <w:jc w:val="center"/>
      </w:pPr>
      <w:r>
        <w:rPr>
          <w:rFonts w:ascii="Times New Roman" w:cs="Times New Roman" w:eastAsia="Times New Roman" w:hAnsi="Times New Roman"/>
          <w:b/>
          <w:bCs/>
          <w:sz w:val="36"/>
          <w:szCs w:val="36"/>
        </w:rPr>
        <w:t xml:space="preserve">ОТЧЕТ ПО ЛАБОРАТОРНОЙ РАБОТЕ № 2</w:t>
      </w:r>
    </w:p>
    <w:p>
      <w:pPr>
        <w:spacing w:after="80"/>
        <w:jc w:val="center"/>
      </w:pPr>
      <w:r>
        <w:rPr>
          <w:rFonts w:ascii="Times New Roman" w:cs="Times New Roman" w:eastAsia="Times New Roman" w:hAnsi="Times New Roman"/>
          <w:i/>
          <w:iCs/>
          <w:sz w:val="28"/>
          <w:szCs w:val="28"/>
        </w:rPr>
        <w:t xml:space="preserve">по дисциплине «Технологии создания и поддержки ПО»</w:t>
      </w:r>
    </w:p>
    <w:p>
      <w:pPr>
        <w:spacing w:after="300"/>
      </w:pPr>
      <w:r>
        <w:t xml:space="preserve"/>
      </w:r>
    </w:p>
    <w:p>
      <w:pPr>
        <w:spacing w:after="80"/>
        <w:jc w:val="center"/>
      </w:pPr>
      <w:r>
        <w:rPr>
          <w:rFonts w:ascii="Times New Roman" w:cs="Times New Roman" w:eastAsia="Times New Roman" w:hAnsi="Times New Roman"/>
          <w:b/>
          <w:bCs/>
          <w:sz w:val="30"/>
          <w:szCs w:val="30"/>
        </w:rPr>
        <w:t xml:space="preserve">Тема проекта: «Диаграммы UML. Диаграмма вариантов использования.»</w:t>
      </w:r>
    </w:p>
    <w:p>
      <w:pPr>
        <w:spacing w:after="80"/>
        <w:jc w:val="center"/>
      </w:pPr>
      <w:r>
        <w:rPr>
          <w:rFonts w:ascii="Times New Roman" w:cs="Times New Roman" w:eastAsia="Times New Roman" w:hAnsi="Times New Roman"/>
          <w:i/>
          <w:iCs/>
          <w:sz w:val="26"/>
          <w:szCs w:val="26"/>
        </w:rPr>
        <w:t xml:space="preserve">Предметная область: сервер для онлайн-конференций и вебинаров</w:t>
      </w:r>
    </w:p>
    <w:p>
      <w:pPr>
        <w:spacing w:after="400"/>
      </w:pPr>
      <w:r>
        <w:t xml:space="preserve"/>
      </w:r>
    </w:p>
    <w:p>
      <w:pPr>
        <w:spacing w:after="400"/>
      </w:pPr>
      <w:r>
        <w:t xml:space="preserve"/>
      </w:r>
    </w:p>
    <w:p>
      <w:pPr>
        <w:spacing w:after="100"/>
        <w:jc w:val="right"/>
      </w:pPr>
      <w:r>
        <w:rPr>
          <w:rFonts w:ascii="Times New Roman" w:cs="Times New Roman" w:eastAsia="Times New Roman" w:hAnsi="Times New Roman"/>
          <w:sz w:val="26"/>
          <w:szCs w:val="26"/>
        </w:rPr>
        <w:t xml:space="preserve">Подготовил студент группы 21.2:</w:t>
      </w:r>
    </w:p>
    <w:p>
      <w:pPr>
        <w:spacing w:after="100"/>
        <w:jc w:val="right"/>
      </w:pPr>
      <w:r>
        <w:rPr>
          <w:rFonts w:ascii="Times New Roman" w:cs="Times New Roman" w:eastAsia="Times New Roman" w:hAnsi="Times New Roman"/>
          <w:sz w:val="26"/>
          <w:szCs w:val="26"/>
        </w:rPr>
        <w:t xml:space="preserve">_______________________ А.Д. Павлов</w:t>
      </w:r>
    </w:p>
    <w:p>
      <w:pPr>
        <w:spacing w:after="100"/>
        <w:jc w:val="right"/>
      </w:pPr>
      <w:r>
        <w:rPr>
          <w:rFonts w:ascii="Times New Roman" w:cs="Times New Roman" w:eastAsia="Times New Roman" w:hAnsi="Times New Roman"/>
          <w:sz w:val="24"/>
          <w:szCs w:val="24"/>
        </w:rPr>
        <w:t xml:space="preserve">Направление подготовки 09.03.03 Прикладная информатика</w:t>
      </w:r>
    </w:p>
    <w:p>
      <w:pPr>
        <w:spacing w:after="400"/>
        <w:jc w:val="right"/>
      </w:pPr>
      <w:r>
        <w:rPr>
          <w:rFonts w:ascii="Times New Roman" w:cs="Times New Roman" w:eastAsia="Times New Roman" w:hAnsi="Times New Roman"/>
          <w:sz w:val="24"/>
          <w:szCs w:val="24"/>
        </w:rPr>
        <w:t xml:space="preserve">Курс — 2</w:t>
      </w:r>
    </w:p>
    <w:p>
      <w:r>
        <w:br w:type="page"/>
      </w:r>
    </w:p>
    <w:p>
      <w:pPr>
        <w:pStyle w:val="Heading1"/>
        <w:spacing w:after="200" w:before="240"/>
        <w:jc w:val="center"/>
      </w:pPr>
      <w:r>
        <w:rPr>
          <w:rFonts w:ascii="Times New Roman" w:cs="Times New Roman" w:eastAsia="Times New Roman" w:hAnsi="Times New Roman"/>
          <w:b/>
          <w:bCs/>
          <w:sz w:val="32"/>
          <w:szCs w:val="32"/>
        </w:rPr>
        <w:t xml:space="preserve">Цели и задачи выполняемой лабораторной работы</w:t>
      </w:r>
    </w:p>
    <w:p>
      <w:pPr>
        <w:spacing w:after="160" w:line="360"/>
        <w:ind w:firstLine="720"/>
        <w:jc w:val="both"/>
      </w:pPr>
      <w:r>
        <w:rPr>
          <w:rFonts w:ascii="Times New Roman" w:cs="Times New Roman" w:eastAsia="Times New Roman" w:hAnsi="Times New Roman"/>
          <w:b/>
          <w:bCs/>
          <w:sz w:val="28"/>
          <w:szCs w:val="28"/>
        </w:rPr>
        <w:t xml:space="preserve">Цель работы: </w:t>
      </w:r>
      <w:r>
        <w:rPr>
          <w:rFonts w:ascii="Times New Roman" w:cs="Times New Roman" w:eastAsia="Times New Roman" w:hAnsi="Times New Roman"/>
          <w:sz w:val="28"/>
          <w:szCs w:val="28"/>
        </w:rPr>
        <w:t xml:space="preserve">изучение принципов построения диаграмм вариантов использования UML и получение практических навыков их разработки на примере системы «Сервер для онлайн-конференций и вебинаров».</w:t>
      </w:r>
    </w:p>
    <w:p>
      <w:pPr>
        <w:pStyle w:val="Heading2"/>
        <w:spacing w:after="120" w:before="200"/>
      </w:pPr>
      <w:r>
        <w:rPr>
          <w:rFonts w:ascii="Times New Roman" w:cs="Times New Roman" w:eastAsia="Times New Roman" w:hAnsi="Times New Roman"/>
          <w:b/>
          <w:bCs/>
          <w:sz w:val="30"/>
          <w:szCs w:val="30"/>
        </w:rPr>
        <w:t xml:space="preserve">Задачи работы:</w:t>
      </w:r>
    </w:p>
    <w:p>
      <w:pPr>
        <w:pStyle w:val="ListParagraph"/>
        <w:numPr>
          <w:ilvl w:val="0"/>
          <w:numId w:val="2"/>
        </w:numPr>
        <w:spacing w:after="100" w:line="340"/>
        <w:jc w:val="both"/>
      </w:pPr>
      <w:r>
        <w:rPr>
          <w:rFonts w:ascii="Times New Roman" w:cs="Times New Roman" w:eastAsia="Times New Roman" w:hAnsi="Times New Roman"/>
          <w:sz w:val="28"/>
          <w:szCs w:val="28"/>
        </w:rPr>
        <w:t xml:space="preserve">Рассмотреть типы отношений между элементами диаграммы вариантов использования (ассоциация, включение, расширение, обобщение) и особенности их применения.</w:t>
      </w:r>
    </w:p>
    <w:p>
      <w:pPr>
        <w:pStyle w:val="ListParagraph"/>
        <w:numPr>
          <w:ilvl w:val="0"/>
          <w:numId w:val="2"/>
        </w:numPr>
        <w:spacing w:after="100" w:line="340"/>
        <w:jc w:val="both"/>
      </w:pPr>
      <w:r>
        <w:rPr>
          <w:rFonts w:ascii="Times New Roman" w:cs="Times New Roman" w:eastAsia="Times New Roman" w:hAnsi="Times New Roman"/>
          <w:sz w:val="28"/>
          <w:szCs w:val="28"/>
        </w:rPr>
        <w:t xml:space="preserve">Определить акторов проектируемой системы «Сервер для онлайн-конференций и вебинаров» и их роли в рамках взаимодействия с системой.</w:t>
      </w:r>
    </w:p>
    <w:p>
      <w:pPr>
        <w:pStyle w:val="ListParagraph"/>
        <w:numPr>
          <w:ilvl w:val="0"/>
          <w:numId w:val="2"/>
        </w:numPr>
        <w:spacing w:after="100" w:line="340"/>
        <w:jc w:val="both"/>
      </w:pPr>
      <w:r>
        <w:rPr>
          <w:rFonts w:ascii="Times New Roman" w:cs="Times New Roman" w:eastAsia="Times New Roman" w:hAnsi="Times New Roman"/>
          <w:sz w:val="28"/>
          <w:szCs w:val="28"/>
        </w:rPr>
        <w:t xml:space="preserve">Выделить основные варианты использования системы на основе ранее сформулированных пользовательских историй (из лабораторной работы № 1).</w:t>
      </w:r>
    </w:p>
    <w:p>
      <w:pPr>
        <w:pStyle w:val="ListParagraph"/>
        <w:numPr>
          <w:ilvl w:val="0"/>
          <w:numId w:val="2"/>
        </w:numPr>
        <w:spacing w:after="100" w:line="340"/>
        <w:jc w:val="both"/>
      </w:pPr>
      <w:r>
        <w:rPr>
          <w:rFonts w:ascii="Times New Roman" w:cs="Times New Roman" w:eastAsia="Times New Roman" w:hAnsi="Times New Roman"/>
          <w:sz w:val="28"/>
          <w:szCs w:val="28"/>
        </w:rPr>
        <w:t xml:space="preserve">Построить диаграмму вариантов использования, отражающую функциональные возможности системы и взаимодействие акторов с вариантами использования.</w:t>
      </w:r>
    </w:p>
    <w:p>
      <w:r>
        <w:br w:type="page"/>
      </w:r>
    </w:p>
    <w:p>
      <w:pPr>
        <w:pStyle w:val="Heading1"/>
        <w:spacing w:after="200" w:before="240"/>
        <w:jc w:val="center"/>
      </w:pPr>
      <w:r>
        <w:rPr>
          <w:rFonts w:ascii="Times New Roman" w:cs="Times New Roman" w:eastAsia="Times New Roman" w:hAnsi="Times New Roman"/>
          <w:b/>
          <w:bCs/>
          <w:sz w:val="32"/>
          <w:szCs w:val="32"/>
        </w:rPr>
        <w:t xml:space="preserve">Диаграмма вариантов использования</w:t>
      </w:r>
    </w:p>
    <w:p>
      <w:pPr>
        <w:spacing w:after="120" w:line="360"/>
        <w:ind w:firstLine="720"/>
        <w:jc w:val="both"/>
      </w:pPr>
      <w:r>
        <w:rPr>
          <w:rFonts w:ascii="Times New Roman" w:cs="Times New Roman" w:eastAsia="Times New Roman" w:hAnsi="Times New Roman"/>
          <w:sz w:val="28"/>
          <w:szCs w:val="28"/>
        </w:rPr>
        <w:t xml:space="preserve">На основании пользовательских историй, сформулированных в первой лабораторной работе, была построена диаграмма вариантов использования системы «Сервер для онлайн-конференций и вебинаров». На диаграмме отражены акторы (участник, докладчик, модератор, администратор, владелец сервера, таймер), функциональные возможности системы и отношения между ними — ассоциации, включения («include»), расширения («extend») и обобщение между акторами «Участник» и «Докладчик».</w:t>
      </w:r>
    </w:p>
    <w:p>
      <w:pPr>
        <w:spacing w:after="120"/>
        <w:jc w:val="center"/>
      </w:pPr>
      <w:r>
        <w:drawing>
          <wp:inline distT="0" distB="0" distL="0" distR="0">
            <wp:extent cx="5143500" cy="7048500"/>
            <wp:effectExtent t="0" r="0" b="0" l="0"/>
            <wp:docPr id="1" name="use-case-diagram" descr="Диаграмма вариантов использования системы сервера онлайн-конференций" title="Диаграмма вариантов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7048500"/>
                    </a:xfrm>
                    <a:prstGeom prst="rect">
                      <a:avLst/>
                    </a:prstGeom>
                  </pic:spPr>
                </pic:pic>
              </a:graphicData>
            </a:graphic>
          </wp:inline>
        </w:drawing>
      </w:r>
    </w:p>
    <w:p>
      <w:pPr>
        <w:spacing w:after="80"/>
        <w:jc w:val="center"/>
      </w:pPr>
      <w:r>
        <w:rPr>
          <w:rFonts w:ascii="Times New Roman" w:cs="Times New Roman" w:eastAsia="Times New Roman" w:hAnsi="Times New Roman"/>
          <w:i/>
          <w:iCs/>
          <w:sz w:val="24"/>
          <w:szCs w:val="24"/>
        </w:rPr>
        <w:t xml:space="preserve">Рисунок 1 — Диаграмма вариантов использования системы «Сервер для онлайн-конференций и вебинаров»</w:t>
      </w:r>
    </w:p>
    <w:p>
      <w:r>
        <w:br w:type="page"/>
      </w:r>
    </w:p>
    <w:p>
      <w:pPr>
        <w:pStyle w:val="Heading1"/>
        <w:spacing w:after="200" w:before="240"/>
        <w:jc w:val="center"/>
      </w:pPr>
      <w:r>
        <w:rPr>
          <w:rFonts w:ascii="Times New Roman" w:cs="Times New Roman" w:eastAsia="Times New Roman" w:hAnsi="Times New Roman"/>
          <w:b/>
          <w:bCs/>
          <w:sz w:val="32"/>
          <w:szCs w:val="32"/>
        </w:rPr>
        <w:t xml:space="preserve">Ответы на контрольные вопросы</w:t>
      </w:r>
    </w:p>
    <w:p>
      <w:pPr>
        <w:spacing w:after="120" w:line="360"/>
      </w:pPr>
      <w:r>
        <w:rPr>
          <w:rFonts w:ascii="Times New Roman" w:cs="Times New Roman" w:eastAsia="Times New Roman" w:hAnsi="Times New Roman"/>
          <w:b/>
          <w:bCs/>
          <w:sz w:val="28"/>
          <w:szCs w:val="28"/>
        </w:rPr>
        <w:t xml:space="preserve">1. Из каких элементов состоит диаграмма вариантов использования (ВИ)?</w:t>
      </w:r>
    </w:p>
    <w:p>
      <w:pPr>
        <w:spacing w:after="120" w:line="360"/>
        <w:ind w:firstLine="720"/>
        <w:jc w:val="both"/>
      </w:pPr>
      <w:r>
        <w:rPr>
          <w:rFonts w:ascii="Times New Roman" w:cs="Times New Roman" w:eastAsia="Times New Roman" w:hAnsi="Times New Roman"/>
          <w:sz w:val="28"/>
          <w:szCs w:val="28"/>
        </w:rPr>
        <w:t xml:space="preserve">Диаграмма вариантов использования в нотации UML состоит из следующих основных элементов:</w:t>
      </w:r>
    </w:p>
    <w:p>
      <w:pPr>
        <w:pStyle w:val="ListParagraph"/>
        <w:numPr>
          <w:ilvl w:val="0"/>
          <w:numId w:val="3"/>
        </w:numPr>
        <w:spacing w:after="100" w:line="340"/>
        <w:jc w:val="both"/>
      </w:pPr>
      <w:r>
        <w:rPr>
          <w:rFonts w:ascii="Times New Roman" w:cs="Times New Roman" w:eastAsia="Times New Roman" w:hAnsi="Times New Roman"/>
          <w:sz w:val="28"/>
          <w:szCs w:val="28"/>
        </w:rPr>
        <w:t xml:space="preserve">Акторы (Actors) — внешние по отношению к системе сущности, взаимодействующие с ней. Актором может быть пользователь, другая система или устройство. Изображаются в виде схематической фигуры человека. В рассмотренной предметной области акторами выступают: участник, докладчик, модератор, администратор, владелец сервера и таймер.</w:t>
      </w:r>
    </w:p>
    <w:p>
      <w:pPr>
        <w:pStyle w:val="ListParagraph"/>
        <w:numPr>
          <w:ilvl w:val="0"/>
          <w:numId w:val="3"/>
        </w:numPr>
        <w:spacing w:after="100" w:line="340"/>
        <w:jc w:val="both"/>
      </w:pPr>
      <w:r>
        <w:rPr>
          <w:rFonts w:ascii="Times New Roman" w:cs="Times New Roman" w:eastAsia="Times New Roman" w:hAnsi="Times New Roman"/>
          <w:sz w:val="28"/>
          <w:szCs w:val="28"/>
        </w:rPr>
        <w:t xml:space="preserve">Варианты использования (Use Cases) — функциональные возможности системы, представляющие собой завершённые сценарии взаимодействия актора с системой. Отображаются в виде овала с названием соответствующего действия (например, «Подключение к конференции», «Демонстрация экрана», «Запись конференции»).</w:t>
      </w:r>
    </w:p>
    <w:p>
      <w:pPr>
        <w:pStyle w:val="ListParagraph"/>
        <w:numPr>
          <w:ilvl w:val="0"/>
          <w:numId w:val="3"/>
        </w:numPr>
        <w:spacing w:after="100" w:line="340"/>
        <w:jc w:val="both"/>
      </w:pPr>
      <w:r>
        <w:rPr>
          <w:rFonts w:ascii="Times New Roman" w:cs="Times New Roman" w:eastAsia="Times New Roman" w:hAnsi="Times New Roman"/>
          <w:sz w:val="28"/>
          <w:szCs w:val="28"/>
        </w:rPr>
        <w:t xml:space="preserve">Граница системы (System Boundary) — прямоугольник, внутри которого располагаются варианты использования. Он обозначает пределы рассматриваемой системы — в данном случае сервера онлайн-конференций.</w:t>
      </w:r>
    </w:p>
    <w:p>
      <w:pPr>
        <w:pStyle w:val="ListParagraph"/>
        <w:numPr>
          <w:ilvl w:val="0"/>
          <w:numId w:val="3"/>
        </w:numPr>
        <w:spacing w:after="100" w:line="340"/>
        <w:jc w:val="both"/>
      </w:pPr>
      <w:r>
        <w:rPr>
          <w:rFonts w:ascii="Times New Roman" w:cs="Times New Roman" w:eastAsia="Times New Roman" w:hAnsi="Times New Roman"/>
          <w:sz w:val="28"/>
          <w:szCs w:val="28"/>
        </w:rPr>
        <w:t xml:space="preserve">Связи (Relationships) — линии, отображающие взаимодействие между акторами и вариантами использования, а также отношения между самими вариантами использования.</w:t>
      </w:r>
    </w:p>
    <w:p>
      <w:pPr>
        <w:spacing w:after="120" w:line="360"/>
        <w:ind w:firstLine="720"/>
        <w:jc w:val="both"/>
      </w:pPr>
      <w:r>
        <w:rPr>
          <w:rFonts w:ascii="Times New Roman" w:cs="Times New Roman" w:eastAsia="Times New Roman" w:hAnsi="Times New Roman"/>
          <w:sz w:val="28"/>
          <w:szCs w:val="28"/>
        </w:rPr>
        <w:t xml:space="preserve">К основным типам отношений относятся:</w:t>
      </w:r>
    </w:p>
    <w:p>
      <w:pPr>
        <w:pStyle w:val="ListParagraph"/>
        <w:numPr>
          <w:ilvl w:val="0"/>
          <w:numId w:val="4"/>
        </w:numPr>
        <w:spacing w:after="80" w:line="340"/>
        <w:jc w:val="both"/>
      </w:pPr>
      <w:r>
        <w:rPr>
          <w:rFonts w:ascii="Times New Roman" w:cs="Times New Roman" w:eastAsia="Times New Roman" w:hAnsi="Times New Roman"/>
          <w:sz w:val="28"/>
          <w:szCs w:val="28"/>
        </w:rPr>
        <w:t xml:space="preserve">ассоциация — связь актора с вариантом использования;</w:t>
      </w:r>
    </w:p>
    <w:p>
      <w:pPr>
        <w:pStyle w:val="ListParagraph"/>
        <w:numPr>
          <w:ilvl w:val="0"/>
          <w:numId w:val="4"/>
        </w:numPr>
        <w:spacing w:after="80" w:line="340"/>
        <w:jc w:val="both"/>
      </w:pPr>
      <w:r>
        <w:rPr>
          <w:rFonts w:ascii="Times New Roman" w:cs="Times New Roman" w:eastAsia="Times New Roman" w:hAnsi="Times New Roman"/>
          <w:sz w:val="28"/>
          <w:szCs w:val="28"/>
        </w:rPr>
        <w:t xml:space="preserve">включение (include) — обязательное включение поведения одного варианта использования в другой;</w:t>
      </w:r>
    </w:p>
    <w:p>
      <w:pPr>
        <w:pStyle w:val="ListParagraph"/>
        <w:numPr>
          <w:ilvl w:val="0"/>
          <w:numId w:val="4"/>
        </w:numPr>
        <w:spacing w:after="80" w:line="340"/>
        <w:jc w:val="both"/>
      </w:pPr>
      <w:r>
        <w:rPr>
          <w:rFonts w:ascii="Times New Roman" w:cs="Times New Roman" w:eastAsia="Times New Roman" w:hAnsi="Times New Roman"/>
          <w:sz w:val="28"/>
          <w:szCs w:val="28"/>
        </w:rPr>
        <w:t xml:space="preserve">расширение (extend) — условное, дополнительное расширение поведения;</w:t>
      </w:r>
    </w:p>
    <w:p>
      <w:pPr>
        <w:pStyle w:val="ListParagraph"/>
        <w:numPr>
          <w:ilvl w:val="0"/>
          <w:numId w:val="4"/>
        </w:numPr>
        <w:spacing w:after="80" w:line="340"/>
        <w:jc w:val="both"/>
      </w:pPr>
      <w:r>
        <w:rPr>
          <w:rFonts w:ascii="Times New Roman" w:cs="Times New Roman" w:eastAsia="Times New Roman" w:hAnsi="Times New Roman"/>
          <w:sz w:val="28"/>
          <w:szCs w:val="28"/>
        </w:rPr>
        <w:t xml:space="preserve">обобщение (generalization) — отношение наследования между акторами или вариантами использования.</w:t>
      </w:r>
    </w:p>
    <w:p>
      <w:pPr>
        <w:spacing w:after="120" w:line="360"/>
        <w:ind w:firstLine="720"/>
        <w:jc w:val="both"/>
      </w:pPr>
      <w:r>
        <w:rPr>
          <w:rFonts w:ascii="Times New Roman" w:cs="Times New Roman" w:eastAsia="Times New Roman" w:hAnsi="Times New Roman"/>
          <w:sz w:val="28"/>
          <w:szCs w:val="28"/>
        </w:rPr>
        <w:t xml:space="preserve">Таким образом, диаграмма вариантов использования позволяет на концептуальном уровне отразить структуру взаимодействия пользователей с системой и её функциональные возможности.</w:t>
      </w:r>
    </w:p>
    <w:p>
      <w:pPr>
        <w:spacing w:after="120" w:line="360"/>
      </w:pPr>
      <w:r>
        <w:rPr>
          <w:rFonts w:ascii="Times New Roman" w:cs="Times New Roman" w:eastAsia="Times New Roman" w:hAnsi="Times New Roman"/>
          <w:b/>
          <w:bCs/>
          <w:sz w:val="28"/>
          <w:szCs w:val="28"/>
        </w:rPr>
        <w:t xml:space="preserve">2. В чём отличие отношений ВИ «Включение» и «Расширение»?</w:t>
      </w:r>
    </w:p>
    <w:p>
      <w:pPr>
        <w:spacing w:after="120" w:line="360"/>
        <w:ind w:firstLine="720"/>
        <w:jc w:val="both"/>
      </w:pPr>
      <w:r>
        <w:rPr>
          <w:rFonts w:ascii="Times New Roman" w:cs="Times New Roman" w:eastAsia="Times New Roman" w:hAnsi="Times New Roman"/>
          <w:sz w:val="28"/>
          <w:szCs w:val="28"/>
        </w:rPr>
        <w:t xml:space="preserve">Отношения «Включение» (include) и «Расширение» (extend) используются для описания взаимосвязей между вариантами использования, однако имеют различную семантику.</w:t>
      </w:r>
    </w:p>
    <w:p>
      <w:pPr>
        <w:spacing w:after="120" w:line="360"/>
        <w:ind w:firstLine="720"/>
        <w:jc w:val="both"/>
      </w:pPr>
      <w:r>
        <w:rPr>
          <w:rFonts w:ascii="Times New Roman" w:cs="Times New Roman" w:eastAsia="Times New Roman" w:hAnsi="Times New Roman"/>
          <w:sz w:val="28"/>
          <w:szCs w:val="28"/>
        </w:rPr>
        <w:t xml:space="preserve">Отношение «Включение» (include) означает, что выполнение одного варианта использования обязательно включает выполнение другого варианта использования как составной части. Включаемый вариант использования всегда выполняется при выполнении базового. Такое отношение применяется для выделения общего поведения, которое используется в нескольких сценариях. На диаграмме оно обозначается пунктирной стрелкой с пометкой «&lt;&lt;include&gt;&gt;», направленной к включаемому варианту использования. Примером в рассматриваемой системе является включение варианта «Ввод имени (никнейма)» в вариант «Подключение к конференции» — пользователь обязательно проходит этап ввода имени при каждом подключении.</w:t>
      </w:r>
    </w:p>
    <w:p>
      <w:pPr>
        <w:spacing w:after="120" w:line="360"/>
        <w:ind w:firstLine="720"/>
        <w:jc w:val="both"/>
      </w:pPr>
      <w:r>
        <w:rPr>
          <w:rFonts w:ascii="Times New Roman" w:cs="Times New Roman" w:eastAsia="Times New Roman" w:hAnsi="Times New Roman"/>
          <w:sz w:val="28"/>
          <w:szCs w:val="28"/>
        </w:rPr>
        <w:t xml:space="preserve">Отношение «Расширение» (extend) указывает на возможность дополнительного поведения, которое может быть выполнено при определённых условиях. Расширяющий вариант использования не является обязательным и выполняется только при выполнении заданного условия. На диаграмме это отношение обозначается пунктирной стрелкой с пометкой «&lt;&lt;extend&gt;&gt;», направленной к базовому варианту использования. Примером расширения в системе служит вариант «Удаление участника», который расширяет «Модерацию участников» — модератор удаляет участника только при возникновении нарушений.</w:t>
      </w:r>
    </w:p>
    <w:p>
      <w:pPr>
        <w:spacing w:after="120" w:line="360"/>
        <w:ind w:firstLine="720"/>
        <w:jc w:val="both"/>
      </w:pPr>
      <w:r>
        <w:rPr>
          <w:rFonts w:ascii="Times New Roman" w:cs="Times New Roman" w:eastAsia="Times New Roman" w:hAnsi="Times New Roman"/>
          <w:sz w:val="28"/>
          <w:szCs w:val="28"/>
        </w:rPr>
        <w:t xml:space="preserve">Таким образом, основное различие заключается в обязательности выполнения: «include» — обязательное включение поведения; «extend» — условное, дополнительное расширение поведения.</w:t>
      </w:r>
    </w:p>
    <w:p>
      <w:pPr>
        <w:spacing w:after="120" w:line="360"/>
      </w:pPr>
      <w:r>
        <w:rPr>
          <w:rFonts w:ascii="Times New Roman" w:cs="Times New Roman" w:eastAsia="Times New Roman" w:hAnsi="Times New Roman"/>
          <w:b/>
          <w:bCs/>
          <w:sz w:val="28"/>
          <w:szCs w:val="28"/>
        </w:rPr>
        <w:t xml:space="preserve">3. Почему для создания диаграмм ВИ желательно использовать специализированные редакторы?</w:t>
      </w:r>
    </w:p>
    <w:p>
      <w:pPr>
        <w:spacing w:after="120" w:line="360"/>
        <w:ind w:firstLine="720"/>
        <w:jc w:val="both"/>
      </w:pPr>
      <w:r>
        <w:rPr>
          <w:rFonts w:ascii="Times New Roman" w:cs="Times New Roman" w:eastAsia="Times New Roman" w:hAnsi="Times New Roman"/>
          <w:sz w:val="28"/>
          <w:szCs w:val="28"/>
        </w:rPr>
        <w:t xml:space="preserve">Использование специализированных UML-редакторов (таких как StarUML, Visual Paradigm, draw.io, PlantUML, Enterprise Architect) при построении диаграмм вариантов использования является предпочтительным по нескольким причинам.</w:t>
      </w:r>
    </w:p>
    <w:p>
      <w:pPr>
        <w:spacing w:after="120" w:line="360"/>
        <w:ind w:firstLine="720"/>
        <w:jc w:val="both"/>
      </w:pPr>
      <w:r>
        <w:rPr>
          <w:rFonts w:ascii="Times New Roman" w:cs="Times New Roman" w:eastAsia="Times New Roman" w:hAnsi="Times New Roman"/>
          <w:sz w:val="28"/>
          <w:szCs w:val="28"/>
        </w:rPr>
        <w:t xml:space="preserve">Во-первых, такие инструменты обеспечивают корректное соблюдение нотации UML, что позволяет избежать ошибок в обозначениях элементов и связей.</w:t>
      </w:r>
    </w:p>
    <w:p>
      <w:pPr>
        <w:spacing w:after="120" w:line="360"/>
        <w:ind w:firstLine="720"/>
        <w:jc w:val="both"/>
      </w:pPr>
      <w:r>
        <w:rPr>
          <w:rFonts w:ascii="Times New Roman" w:cs="Times New Roman" w:eastAsia="Times New Roman" w:hAnsi="Times New Roman"/>
          <w:sz w:val="28"/>
          <w:szCs w:val="28"/>
        </w:rPr>
        <w:t xml:space="preserve">Во-вторых, специализированные редакторы автоматизируют процесс построения диаграмм: упрощают создание и редактирование связей между элементами, поддерживают автоматическую разметку и выравнивание, позволяют быстро вносить изменения при необходимости.</w:t>
      </w:r>
    </w:p>
    <w:p>
      <w:pPr>
        <w:spacing w:after="120" w:line="360"/>
        <w:ind w:firstLine="720"/>
        <w:jc w:val="both"/>
      </w:pPr>
      <w:r>
        <w:rPr>
          <w:rFonts w:ascii="Times New Roman" w:cs="Times New Roman" w:eastAsia="Times New Roman" w:hAnsi="Times New Roman"/>
          <w:sz w:val="28"/>
          <w:szCs w:val="28"/>
        </w:rPr>
        <w:t xml:space="preserve">В-третьих, подобные инструменты поддерживают экспорт диаграмм в различные форматы (PNG, PDF, SVG и другие), что облегчает их включение в отчёты и документацию.</w:t>
      </w:r>
    </w:p>
    <w:p>
      <w:pPr>
        <w:spacing w:after="120" w:line="360"/>
        <w:ind w:firstLine="720"/>
        <w:jc w:val="both"/>
      </w:pPr>
      <w:r>
        <w:rPr>
          <w:rFonts w:ascii="Times New Roman" w:cs="Times New Roman" w:eastAsia="Times New Roman" w:hAnsi="Times New Roman"/>
          <w:sz w:val="28"/>
          <w:szCs w:val="28"/>
        </w:rPr>
        <w:t xml:space="preserve">Кроме того, многие UML-редакторы поддерживают создание нескольких типов диаграмм в рамках одного проекта (диаграммы классов, последовательностей, состояний, деятельности), что обеспечивает целостность моделирования системы.</w:t>
      </w:r>
    </w:p>
    <w:p>
      <w:pPr>
        <w:spacing w:after="120" w:line="360"/>
        <w:ind w:firstLine="720"/>
        <w:jc w:val="both"/>
      </w:pPr>
      <w:r>
        <w:rPr>
          <w:rFonts w:ascii="Times New Roman" w:cs="Times New Roman" w:eastAsia="Times New Roman" w:hAnsi="Times New Roman"/>
          <w:sz w:val="28"/>
          <w:szCs w:val="28"/>
        </w:rPr>
        <w:t xml:space="preserve">Таким образом, применение специализированных средств разработки UML-диаграмм повышает точность, наглядность и качество представления функциональных требований системы.</w:t>
      </w:r>
    </w:p>
    <w:p>
      <w:r>
        <w:br w:type="page"/>
      </w:r>
    </w:p>
    <w:p>
      <w:pPr>
        <w:pStyle w:val="Heading1"/>
        <w:spacing w:after="200" w:before="240"/>
        <w:jc w:val="center"/>
      </w:pPr>
      <w:r>
        <w:rPr>
          <w:rFonts w:ascii="Times New Roman" w:cs="Times New Roman" w:eastAsia="Times New Roman" w:hAnsi="Times New Roman"/>
          <w:b/>
          <w:bCs/>
          <w:sz w:val="32"/>
          <w:szCs w:val="32"/>
        </w:rPr>
        <w:t xml:space="preserve">Вывод</w:t>
      </w:r>
    </w:p>
    <w:p>
      <w:pPr>
        <w:spacing w:after="120" w:line="360"/>
        <w:ind w:firstLine="720"/>
        <w:jc w:val="both"/>
      </w:pPr>
      <w:r>
        <w:rPr>
          <w:rFonts w:ascii="Times New Roman" w:cs="Times New Roman" w:eastAsia="Times New Roman" w:hAnsi="Times New Roman"/>
          <w:sz w:val="28"/>
          <w:szCs w:val="28"/>
        </w:rPr>
        <w:t xml:space="preserve">В ходе выполнения лабораторной работы № 2 были изучены основные принципы построения диаграмм вариантов использования в нотации UML, а также рассмотрены элементы и типы отношений между ними — ассоциация, включение, расширение и обобщение.</w:t>
      </w:r>
    </w:p>
    <w:p>
      <w:pPr>
        <w:spacing w:after="120" w:line="360"/>
        <w:ind w:firstLine="720"/>
        <w:jc w:val="both"/>
      </w:pPr>
      <w:r>
        <w:rPr>
          <w:rFonts w:ascii="Times New Roman" w:cs="Times New Roman" w:eastAsia="Times New Roman" w:hAnsi="Times New Roman"/>
          <w:sz w:val="28"/>
          <w:szCs w:val="28"/>
        </w:rPr>
        <w:t xml:space="preserve">На основе пользовательских историй, разработанных в первой лабораторной работе, была построена диаграмма вариантов использования для системы «Сервер для онлайн-конференций и вебинаров». На диаграмме определены шесть акторов (участник, докладчик, модератор, администратор, владелец сервера, таймер), выделены основные варианты использования — от подключения к конференции и управления медиа до модерации, записи и автоматического завершения сеанса — и отражены их взаимосвязи с использованием отношений «include», «extend» и обобщения.</w:t>
      </w:r>
    </w:p>
    <w:p>
      <w:pPr>
        <w:spacing w:after="120" w:line="360"/>
        <w:ind w:firstLine="720"/>
        <w:jc w:val="both"/>
      </w:pPr>
      <w:r>
        <w:rPr>
          <w:rFonts w:ascii="Times New Roman" w:cs="Times New Roman" w:eastAsia="Times New Roman" w:hAnsi="Times New Roman"/>
          <w:sz w:val="28"/>
          <w:szCs w:val="28"/>
        </w:rPr>
        <w:t xml:space="preserve">В результате работы были закреплены навыки анализа требований и их визуального представления с использованием UML-диаграмм. Поставленные цели и задачи лабораторной работы выполнены в полном объёме.</w:t>
      </w:r>
    </w:p>
    <w:sectPr>
      <w:pgSz w:w="11906" w:h="16838" w:orient="portrait"/>
      <w:pgMar w:top="1440" w:right="108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101931e72f432775f0a77534a4e7f9db0626a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2026-05-19T20:39:53.412Z</dcterms:created>
  <dcterms:modified xsi:type="dcterms:W3CDTF">2026-05-19T20:39:53.413Z</dcterms:modified>
</cp:coreProperties>
</file>

<file path=docProps/custom.xml><?xml version="1.0" encoding="utf-8"?>
<Properties xmlns="http://schemas.openxmlformats.org/officeDocument/2006/custom-properties" xmlns:vt="http://schemas.openxmlformats.org/officeDocument/2006/docPropsVTypes"/>
</file>