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60"/>
        <w:jc w:val="center"/>
      </w:pPr>
      <w:r>
        <w:rPr>
          <w:rFonts w:ascii="Calibri" w:hAnsi="Calibri" w:eastAsia="微软雅黑"/>
          <w:b/>
          <w:color w:val="1F3A5F"/>
          <w:sz w:val="36"/>
        </w:rPr>
        <w:t>算法需求文档撰写——业务方材料需求清单</w:t>
      </w:r>
    </w:p>
    <w:p>
      <w:pPr>
        <w:jc w:val="center"/>
      </w:pPr>
      <w:r>
        <w:rPr>
          <w:rFonts w:ascii="Calibri" w:hAnsi="Calibri" w:eastAsia="微软雅黑"/>
          <w:b w:val="0"/>
          <w:color w:val="666666"/>
          <w:sz w:val="18"/>
        </w:rPr>
        <w:t>版本：v1.0    面向对象：业务产品经理（材料提供方）    使用人员：AI 产品专家 / 算法产品经理</w:t>
      </w:r>
    </w:p>
    <w:p>
      <w:pPr>
        <w:spacing w:before="280" w:after="160"/>
      </w:pPr>
      <w:r>
        <w:rPr>
          <w:rFonts w:ascii="Calibri" w:hAnsi="Calibri" w:eastAsia="微软雅黑"/>
          <w:b/>
          <w:color w:val="1F3A5F"/>
          <w:sz w:val="30"/>
        </w:rPr>
        <w:t>一、文档说明</w:t>
      </w:r>
    </w:p>
    <w:p>
      <w:pPr>
        <w:spacing w:before="280" w:after="160"/>
      </w:pPr>
      <w:r>
        <w:rPr>
          <w:rFonts w:ascii="Calibri" w:hAnsi="Calibri" w:eastAsia="微软雅黑"/>
          <w:b/>
          <w:color w:val="1F3A5F"/>
          <w:sz w:val="25"/>
        </w:rPr>
        <w:t>1.1 背景与目的</w:t>
      </w:r>
    </w:p>
    <w:p>
      <w:pPr>
        <w:spacing w:after="80"/>
      </w:pPr>
      <w:r>
        <w:rPr>
          <w:rFonts w:ascii="Calibri" w:hAnsi="Calibri" w:eastAsia="微软雅黑"/>
          <w:b w:val="0"/>
          <w:sz w:val="21"/>
        </w:rPr>
        <w:t>业务产品提出需求后，算法侧需要将业务需求拆解并转化为算法需求文档（含任务定义、技术指标、数据方案、评测方案、工程约束等）。为保证拆解的准确性和方案设计的可行性，需要业务产品方在需求评审前按本清单提供相应材料。</w:t>
      </w:r>
    </w:p>
    <w:p>
      <w:pPr>
        <w:spacing w:before="280" w:after="160"/>
      </w:pPr>
      <w:r>
        <w:rPr>
          <w:rFonts w:ascii="Calibri" w:hAnsi="Calibri" w:eastAsia="微软雅黑"/>
          <w:b/>
          <w:color w:val="1F3A5F"/>
          <w:sz w:val="25"/>
        </w:rPr>
        <w:t>1.2 优先级定义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fill="1F3A5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3685"/>
            <w:shd w:val="clear" w:fill="1F3A5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3969"/>
            <w:shd w:val="clear" w:fill="1F3A5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缺失影响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P0（必须）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不提供则无法启动算法需求分析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需求无法进入评审，暂缓排期</w:t>
            </w:r>
          </w:p>
        </w:tc>
      </w:tr>
      <w:tr>
        <w:tc>
          <w:tcPr>
            <w:tcW w:type="dxa" w:w="1701"/>
            <w:shd w:val="clear" w:fill="F2F6FA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P1（重要）</w:t>
            </w:r>
          </w:p>
        </w:tc>
        <w:tc>
          <w:tcPr>
            <w:tcW w:type="dxa" w:w="3685"/>
            <w:shd w:val="clear" w:fill="F2F6FA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直接影响方案设计质量与排期准确性</w:t>
            </w:r>
          </w:p>
        </w:tc>
        <w:tc>
          <w:tcPr>
            <w:tcW w:type="dxa" w:w="3969"/>
            <w:shd w:val="clear" w:fill="F2F6FA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可先启动，但方案存在返工风险，排期不承诺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P2（可选）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有则更好，可在方案设计过程中补充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不影响启动，影响方案细节完善度</w:t>
            </w:r>
          </w:p>
        </w:tc>
      </w:tr>
    </w:tbl>
    <w:p>
      <w:pPr>
        <w:spacing w:before="280" w:after="160"/>
      </w:pPr>
      <w:r>
        <w:rPr>
          <w:rFonts w:ascii="Calibri" w:hAnsi="Calibri" w:eastAsia="微软雅黑"/>
          <w:b/>
          <w:color w:val="1F3A5F"/>
          <w:sz w:val="30"/>
        </w:rPr>
        <w:t>二、材料需求清单（主表格）</w:t>
      </w:r>
    </w:p>
    <w:p>
      <w:pPr>
        <w:spacing w:before="280" w:after="160"/>
      </w:pPr>
      <w:r>
        <w:rPr>
          <w:rFonts w:ascii="Calibri" w:hAnsi="Calibri" w:eastAsia="微软雅黑"/>
          <w:b/>
          <w:color w:val="1F3A5F"/>
          <w:sz w:val="25"/>
        </w:rPr>
        <w:t>A. 业务背景类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680"/>
            <w:shd w:val="clear" w:fill="1F3A5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814"/>
            <w:shd w:val="clear" w:fill="1F3A5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材料名称</w:t>
            </w:r>
          </w:p>
        </w:tc>
        <w:tc>
          <w:tcPr>
            <w:tcW w:type="dxa" w:w="3288"/>
            <w:shd w:val="clear" w:fill="1F3A5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具体内容要求</w:t>
            </w:r>
          </w:p>
        </w:tc>
        <w:tc>
          <w:tcPr>
            <w:tcW w:type="dxa" w:w="3005"/>
            <w:shd w:val="clear" w:fill="1F3A5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用途（支撑算法需求文档的哪部分）</w:t>
            </w:r>
          </w:p>
        </w:tc>
        <w:tc>
          <w:tcPr>
            <w:tcW w:type="dxa" w:w="850"/>
            <w:shd w:val="clear" w:fill="1F3A5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业务需求文档（PRD/BRD）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完整版本，含需求背景、功能描述、功能优先级、目标用户</w:t>
            </w:r>
          </w:p>
        </w:tc>
        <w:tc>
          <w:tcPr>
            <w:tcW w:type="dxa" w:w="3005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明确需求范围，拆解功能点与算法能力项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680"/>
            <w:shd w:val="clear" w:fill="F2F6FA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</w:t>
            </w:r>
          </w:p>
        </w:tc>
        <w:tc>
          <w:tcPr>
            <w:tcW w:type="dxa" w:w="1814"/>
            <w:shd w:val="clear" w:fill="F2F6FA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业务背景与痛点说明</w:t>
            </w:r>
          </w:p>
        </w:tc>
        <w:tc>
          <w:tcPr>
            <w:tcW w:type="dxa" w:w="3288"/>
            <w:shd w:val="clear" w:fill="F2F6FA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当前业务流程是怎样的、痛点在哪、为什么需要用算法解决（而非规则/人工）</w:t>
            </w:r>
          </w:p>
        </w:tc>
        <w:tc>
          <w:tcPr>
            <w:tcW w:type="dxa" w:w="3005"/>
            <w:shd w:val="clear" w:fill="F2F6FA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问题定义、技术必要性判断与技术选型</w:t>
            </w:r>
          </w:p>
        </w:tc>
        <w:tc>
          <w:tcPr>
            <w:tcW w:type="dxa" w:w="850"/>
            <w:shd w:val="clear" w:fill="F2F6FA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3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用户画像与使用场景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目标用户是谁、使用频率、使用环境（PC/移动端/嵌入系统）</w:t>
            </w:r>
          </w:p>
        </w:tc>
        <w:tc>
          <w:tcPr>
            <w:tcW w:type="dxa" w:w="3005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场景假设、方案约束条件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P1</w:t>
            </w:r>
          </w:p>
        </w:tc>
      </w:tr>
      <w:tr>
        <w:tc>
          <w:tcPr>
            <w:tcW w:type="dxa" w:w="680"/>
            <w:shd w:val="clear" w:fill="F2F6FA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4</w:t>
            </w:r>
          </w:p>
        </w:tc>
        <w:tc>
          <w:tcPr>
            <w:tcW w:type="dxa" w:w="1814"/>
            <w:shd w:val="clear" w:fill="F2F6FA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现有解决方案说明</w:t>
            </w:r>
          </w:p>
        </w:tc>
        <w:tc>
          <w:tcPr>
            <w:tcW w:type="dxa" w:w="3288"/>
            <w:shd w:val="clear" w:fill="F2F6FA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目前如何处理（人工/规则/外采），现有效率、成本、准确率水平</w:t>
            </w:r>
          </w:p>
        </w:tc>
        <w:tc>
          <w:tcPr>
            <w:tcW w:type="dxa" w:w="3005"/>
            <w:shd w:val="clear" w:fill="F2F6FA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建立效果基线（baseline），量化算法收益</w:t>
            </w:r>
          </w:p>
        </w:tc>
        <w:tc>
          <w:tcPr>
            <w:tcW w:type="dxa" w:w="850"/>
            <w:shd w:val="clear" w:fill="F2F6FA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P1</w:t>
            </w:r>
          </w:p>
        </w:tc>
      </w:tr>
    </w:tbl>
    <w:p>
      <w:pPr>
        <w:spacing w:before="280" w:after="160"/>
      </w:pPr>
      <w:r>
        <w:rPr>
          <w:rFonts w:ascii="Calibri" w:hAnsi="Calibri" w:eastAsia="微软雅黑"/>
          <w:b/>
          <w:color w:val="1F3A5F"/>
          <w:sz w:val="25"/>
        </w:rPr>
        <w:t>B. 目标与验收类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680"/>
            <w:shd w:val="clear" w:fill="1F3A5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814"/>
            <w:shd w:val="clear" w:fill="1F3A5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材料名称</w:t>
            </w:r>
          </w:p>
        </w:tc>
        <w:tc>
          <w:tcPr>
            <w:tcW w:type="dxa" w:w="3288"/>
            <w:shd w:val="clear" w:fill="1F3A5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具体内容要求</w:t>
            </w:r>
          </w:p>
        </w:tc>
        <w:tc>
          <w:tcPr>
            <w:tcW w:type="dxa" w:w="3005"/>
            <w:shd w:val="clear" w:fill="1F3A5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用途（支撑算法需求文档的哪部分）</w:t>
            </w:r>
          </w:p>
        </w:tc>
        <w:tc>
          <w:tcPr>
            <w:tcW w:type="dxa" w:w="850"/>
            <w:shd w:val="clear" w:fill="1F3A5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5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业务目标与成功指标（KPI）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可量化的业务指标，如"审核效率提升 50%""人力成本降低 30%"</w:t>
            </w:r>
          </w:p>
        </w:tc>
        <w:tc>
          <w:tcPr>
            <w:tcW w:type="dxa" w:w="3005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将业务指标转化为算法指标（准确率/召回率/一致性等）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680"/>
            <w:shd w:val="clear" w:fill="F2F6FA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6</w:t>
            </w:r>
          </w:p>
        </w:tc>
        <w:tc>
          <w:tcPr>
            <w:tcW w:type="dxa" w:w="1814"/>
            <w:shd w:val="clear" w:fill="F2F6FA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验收标准与容错偏好</w:t>
            </w:r>
          </w:p>
        </w:tc>
        <w:tc>
          <w:tcPr>
            <w:tcW w:type="dxa" w:w="3288"/>
            <w:shd w:val="clear" w:fill="F2F6FA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什么程度算达标；哪类错误不可接受（例如：宁可错杀不可漏放，还是相反）</w:t>
            </w:r>
          </w:p>
        </w:tc>
        <w:tc>
          <w:tcPr>
            <w:tcW w:type="dxa" w:w="3005"/>
            <w:shd w:val="clear" w:fill="F2F6FA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确定指标优先级（Precision vs Recall）与上线阈值</w:t>
            </w:r>
          </w:p>
        </w:tc>
        <w:tc>
          <w:tcPr>
            <w:tcW w:type="dxa" w:w="850"/>
            <w:shd w:val="clear" w:fill="F2F6FA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7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期望效果示例（Good/Bad Case）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正、反示例各 10～20 条，并说明"好在哪 / 差在哪"</w:t>
            </w:r>
          </w:p>
        </w:tc>
        <w:tc>
          <w:tcPr>
            <w:tcW w:type="dxa" w:w="3005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对齐效果预期，作为评测标准设计的依据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P1</w:t>
            </w:r>
          </w:p>
        </w:tc>
      </w:tr>
    </w:tbl>
    <w:p>
      <w:pPr>
        <w:spacing w:before="280" w:after="160"/>
      </w:pPr>
      <w:r>
        <w:rPr>
          <w:rFonts w:ascii="Calibri" w:hAnsi="Calibri" w:eastAsia="微软雅黑"/>
          <w:b/>
          <w:color w:val="1F3A5F"/>
          <w:sz w:val="25"/>
        </w:rPr>
        <w:t>C. 数据类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680"/>
            <w:shd w:val="clear" w:fill="1F3A5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814"/>
            <w:shd w:val="clear" w:fill="1F3A5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材料名称</w:t>
            </w:r>
          </w:p>
        </w:tc>
        <w:tc>
          <w:tcPr>
            <w:tcW w:type="dxa" w:w="3288"/>
            <w:shd w:val="clear" w:fill="1F3A5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具体内容要求</w:t>
            </w:r>
          </w:p>
        </w:tc>
        <w:tc>
          <w:tcPr>
            <w:tcW w:type="dxa" w:w="3005"/>
            <w:shd w:val="clear" w:fill="1F3A5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用途（支撑算法需求文档的哪部分）</w:t>
            </w:r>
          </w:p>
        </w:tc>
        <w:tc>
          <w:tcPr>
            <w:tcW w:type="dxa" w:w="850"/>
            <w:shd w:val="clear" w:fill="1F3A5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8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现有数据情况说明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数据来源、总量、增量、格式、字段说明；附脱敏样例数据（建议 ≥100 条）</w:t>
            </w:r>
          </w:p>
        </w:tc>
        <w:tc>
          <w:tcPr>
            <w:tcW w:type="dxa" w:w="3005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可行性评估、训练与评测数据方案设计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680"/>
            <w:shd w:val="clear" w:fill="F2F6FA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9</w:t>
            </w:r>
          </w:p>
        </w:tc>
        <w:tc>
          <w:tcPr>
            <w:tcW w:type="dxa" w:w="1814"/>
            <w:shd w:val="clear" w:fill="F2F6FA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数据标注情况</w:t>
            </w:r>
          </w:p>
        </w:tc>
        <w:tc>
          <w:tcPr>
            <w:tcW w:type="dxa" w:w="3288"/>
            <w:shd w:val="clear" w:fill="F2F6FA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是否已有标注数据及其规范和质量；若无，说明可投入的标注人力/预算</w:t>
            </w:r>
          </w:p>
        </w:tc>
        <w:tc>
          <w:tcPr>
            <w:tcW w:type="dxa" w:w="3005"/>
            <w:shd w:val="clear" w:fill="F2F6FA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标注方案与数据生产计划</w:t>
            </w:r>
          </w:p>
        </w:tc>
        <w:tc>
          <w:tcPr>
            <w:tcW w:type="dxa" w:w="850"/>
            <w:shd w:val="clear" w:fill="F2F6FA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P1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10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数据安全与合规要求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脱敏要求、隐私合规限制、数据是否可出域、是否允许用于模型训练</w:t>
            </w:r>
          </w:p>
        </w:tc>
        <w:tc>
          <w:tcPr>
            <w:tcW w:type="dxa" w:w="3005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数据使用边界、模型部署形态约束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</w:tr>
    </w:tbl>
    <w:p>
      <w:pPr>
        <w:spacing w:before="280" w:after="160"/>
      </w:pPr>
      <w:r>
        <w:rPr>
          <w:rFonts w:ascii="Calibri" w:hAnsi="Calibri" w:eastAsia="微软雅黑"/>
          <w:b/>
          <w:color w:val="1F3A5F"/>
          <w:sz w:val="25"/>
        </w:rPr>
        <w:t>D. 输入输出与边界类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680"/>
            <w:shd w:val="clear" w:fill="1F3A5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814"/>
            <w:shd w:val="clear" w:fill="1F3A5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材料名称</w:t>
            </w:r>
          </w:p>
        </w:tc>
        <w:tc>
          <w:tcPr>
            <w:tcW w:type="dxa" w:w="3288"/>
            <w:shd w:val="clear" w:fill="1F3A5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具体内容要求</w:t>
            </w:r>
          </w:p>
        </w:tc>
        <w:tc>
          <w:tcPr>
            <w:tcW w:type="dxa" w:w="3005"/>
            <w:shd w:val="clear" w:fill="1F3A5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用途（支撑算法需求文档的哪部分）</w:t>
            </w:r>
          </w:p>
        </w:tc>
        <w:tc>
          <w:tcPr>
            <w:tcW w:type="dxa" w:w="850"/>
            <w:shd w:val="clear" w:fill="1F3A5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11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输入/输出定义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算法的输入是什么（图片/文本/结构化数据及其规格），期望输出的内容与格式</w:t>
            </w:r>
          </w:p>
        </w:tc>
        <w:tc>
          <w:tcPr>
            <w:tcW w:type="dxa" w:w="3005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任务形式化定义、接口（Schema）设计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680"/>
            <w:shd w:val="clear" w:fill="F2F6FA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12</w:t>
            </w:r>
          </w:p>
        </w:tc>
        <w:tc>
          <w:tcPr>
            <w:tcW w:type="dxa" w:w="1814"/>
            <w:shd w:val="clear" w:fill="F2F6FA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典型场景用例清单</w:t>
            </w:r>
          </w:p>
        </w:tc>
        <w:tc>
          <w:tcPr>
            <w:tcW w:type="dxa" w:w="3288"/>
            <w:shd w:val="clear" w:fill="F2F6FA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覆盖主要业务场景的用例列表，最好附各场景流量/样本占比预估</w:t>
            </w:r>
          </w:p>
        </w:tc>
        <w:tc>
          <w:tcPr>
            <w:tcW w:type="dxa" w:w="3005"/>
            <w:shd w:val="clear" w:fill="F2F6FA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场景覆盖设计、评测集分布构建</w:t>
            </w:r>
          </w:p>
        </w:tc>
        <w:tc>
          <w:tcPr>
            <w:tcW w:type="dxa" w:w="850"/>
            <w:shd w:val="clear" w:fill="F2F6FA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P1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13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边界与异常场景说明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极端输入、异常输入（空值/超长/模糊图/攻击性内容等）下期望的系统行为</w:t>
            </w:r>
          </w:p>
        </w:tc>
        <w:tc>
          <w:tcPr>
            <w:tcW w:type="dxa" w:w="3005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兜底策略、拒识与异常处理设计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P1</w:t>
            </w:r>
          </w:p>
        </w:tc>
      </w:tr>
    </w:tbl>
    <w:p>
      <w:pPr>
        <w:spacing w:before="280" w:after="160"/>
      </w:pPr>
      <w:r>
        <w:rPr>
          <w:rFonts w:ascii="Calibri" w:hAnsi="Calibri" w:eastAsia="微软雅黑"/>
          <w:b/>
          <w:color w:val="1F3A5F"/>
          <w:sz w:val="25"/>
        </w:rPr>
        <w:t>E. 工程与资源约束类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680"/>
            <w:shd w:val="clear" w:fill="1F3A5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814"/>
            <w:shd w:val="clear" w:fill="1F3A5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材料名称</w:t>
            </w:r>
          </w:p>
        </w:tc>
        <w:tc>
          <w:tcPr>
            <w:tcW w:type="dxa" w:w="3288"/>
            <w:shd w:val="clear" w:fill="1F3A5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具体内容要求</w:t>
            </w:r>
          </w:p>
        </w:tc>
        <w:tc>
          <w:tcPr>
            <w:tcW w:type="dxa" w:w="3005"/>
            <w:shd w:val="clear" w:fill="1F3A5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用途（支撑算法需求文档的哪部分）</w:t>
            </w:r>
          </w:p>
        </w:tc>
        <w:tc>
          <w:tcPr>
            <w:tcW w:type="dxa" w:w="850"/>
            <w:shd w:val="clear" w:fill="1F3A5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14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性能与体验要求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响应时延要求（均值/P99）、并发量（QPS）、日调用量预估</w:t>
            </w:r>
          </w:p>
        </w:tc>
        <w:tc>
          <w:tcPr>
            <w:tcW w:type="dxa" w:w="3005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模型规模选型、部署与扩缩容方案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680"/>
            <w:shd w:val="clear" w:fill="F2F6FA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15</w:t>
            </w:r>
          </w:p>
        </w:tc>
        <w:tc>
          <w:tcPr>
            <w:tcW w:type="dxa" w:w="1814"/>
            <w:shd w:val="clear" w:fill="F2F6FA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部署环境与成本约束</w:t>
            </w:r>
          </w:p>
        </w:tc>
        <w:tc>
          <w:tcPr>
            <w:tcW w:type="dxa" w:w="3288"/>
            <w:shd w:val="clear" w:fill="F2F6FA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公有云/私有化/端侧；可用 GPU 资源；单次调用成本预算上限</w:t>
            </w:r>
          </w:p>
        </w:tc>
        <w:tc>
          <w:tcPr>
            <w:tcW w:type="dxa" w:w="3005"/>
            <w:shd w:val="clear" w:fill="F2F6FA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技术路线选型（自研/开源微调/商用 API）</w:t>
            </w:r>
          </w:p>
        </w:tc>
        <w:tc>
          <w:tcPr>
            <w:tcW w:type="dxa" w:w="850"/>
            <w:shd w:val="clear" w:fill="F2F6FA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P1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16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上线时间与里程碑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期望上线时间；是否接受分阶段交付（MVP → 迭代优化）</w:t>
            </w:r>
          </w:p>
        </w:tc>
        <w:tc>
          <w:tcPr>
            <w:tcW w:type="dxa" w:w="3005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排期规划、方案分期设计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P1</w:t>
            </w:r>
          </w:p>
        </w:tc>
      </w:tr>
    </w:tbl>
    <w:p>
      <w:pPr>
        <w:spacing w:before="280" w:after="160"/>
      </w:pPr>
      <w:r>
        <w:rPr>
          <w:rFonts w:ascii="Calibri" w:hAnsi="Calibri" w:eastAsia="微软雅黑"/>
          <w:b/>
          <w:color w:val="1F3A5F"/>
          <w:sz w:val="25"/>
        </w:rPr>
        <w:t>F. 系统对接与交互类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680"/>
            <w:shd w:val="clear" w:fill="1F3A5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814"/>
            <w:shd w:val="clear" w:fill="1F3A5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材料名称</w:t>
            </w:r>
          </w:p>
        </w:tc>
        <w:tc>
          <w:tcPr>
            <w:tcW w:type="dxa" w:w="3288"/>
            <w:shd w:val="clear" w:fill="1F3A5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具体内容要求</w:t>
            </w:r>
          </w:p>
        </w:tc>
        <w:tc>
          <w:tcPr>
            <w:tcW w:type="dxa" w:w="3005"/>
            <w:shd w:val="clear" w:fill="1F3A5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用途（支撑算法需求文档的哪部分）</w:t>
            </w:r>
          </w:p>
        </w:tc>
        <w:tc>
          <w:tcPr>
            <w:tcW w:type="dxa" w:w="850"/>
            <w:shd w:val="clear" w:fill="1F3A5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17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产品交互原型/设计稿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算法结果在产品中如何呈现；用户能否对结果进行反馈/修正</w:t>
            </w:r>
          </w:p>
        </w:tc>
        <w:tc>
          <w:tcPr>
            <w:tcW w:type="dxa" w:w="3005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输出粒度、置信度分级与人机协同设计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P2</w:t>
            </w:r>
          </w:p>
        </w:tc>
      </w:tr>
      <w:tr>
        <w:tc>
          <w:tcPr>
            <w:tcW w:type="dxa" w:w="680"/>
            <w:shd w:val="clear" w:fill="F2F6FA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18</w:t>
            </w:r>
          </w:p>
        </w:tc>
        <w:tc>
          <w:tcPr>
            <w:tcW w:type="dxa" w:w="1814"/>
            <w:shd w:val="clear" w:fill="F2F6FA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系统对接说明</w:t>
            </w:r>
          </w:p>
        </w:tc>
        <w:tc>
          <w:tcPr>
            <w:tcW w:type="dxa" w:w="3288"/>
            <w:shd w:val="clear" w:fill="F2F6FA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上下游系统、调用方式（同步/异步/批量）、接口契约草案</w:t>
            </w:r>
          </w:p>
        </w:tc>
        <w:tc>
          <w:tcPr>
            <w:tcW w:type="dxa" w:w="3005"/>
            <w:shd w:val="clear" w:fill="F2F6FA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服务接口与集成方案设计</w:t>
            </w:r>
          </w:p>
        </w:tc>
        <w:tc>
          <w:tcPr>
            <w:tcW w:type="dxa" w:w="850"/>
            <w:shd w:val="clear" w:fill="F2F6FA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P2</w:t>
            </w:r>
          </w:p>
        </w:tc>
      </w:tr>
    </w:tbl>
    <w:p>
      <w:pPr>
        <w:spacing w:before="280" w:after="160"/>
      </w:pPr>
      <w:r>
        <w:rPr>
          <w:rFonts w:ascii="Calibri" w:hAnsi="Calibri" w:eastAsia="微软雅黑"/>
          <w:b/>
          <w:color w:val="1F3A5F"/>
          <w:sz w:val="25"/>
        </w:rPr>
        <w:t>G. 评估与迭代类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680"/>
            <w:shd w:val="clear" w:fill="1F3A5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814"/>
            <w:shd w:val="clear" w:fill="1F3A5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材料名称</w:t>
            </w:r>
          </w:p>
        </w:tc>
        <w:tc>
          <w:tcPr>
            <w:tcW w:type="dxa" w:w="3288"/>
            <w:shd w:val="clear" w:fill="1F3A5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具体内容要求</w:t>
            </w:r>
          </w:p>
        </w:tc>
        <w:tc>
          <w:tcPr>
            <w:tcW w:type="dxa" w:w="3005"/>
            <w:shd w:val="clear" w:fill="1F3A5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用途（支撑算法需求文档的哪部分）</w:t>
            </w:r>
          </w:p>
        </w:tc>
        <w:tc>
          <w:tcPr>
            <w:tcW w:type="dxa" w:w="850"/>
            <w:shd w:val="clear" w:fill="1F3A5F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19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评测集/验收集（或共建计划）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业务方认可的验收数据集；若暂无，需明确双方共建的分工与时间计划</w:t>
            </w:r>
          </w:p>
        </w:tc>
        <w:tc>
          <w:tcPr>
            <w:tcW w:type="dxa" w:w="3005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验收方式定义、效果评估方案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P1</w:t>
            </w:r>
          </w:p>
        </w:tc>
      </w:tr>
      <w:tr>
        <w:tc>
          <w:tcPr>
            <w:tcW w:type="dxa" w:w="680"/>
            <w:shd w:val="clear" w:fill="F2F6FA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20</w:t>
            </w:r>
          </w:p>
        </w:tc>
        <w:tc>
          <w:tcPr>
            <w:tcW w:type="dxa" w:w="1814"/>
            <w:shd w:val="clear" w:fill="F2F6FA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竞品/行业参照</w:t>
            </w:r>
          </w:p>
        </w:tc>
        <w:tc>
          <w:tcPr>
            <w:tcW w:type="dxa" w:w="3288"/>
            <w:shd w:val="clear" w:fill="F2F6FA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竞品或行业同类方案的效果水平、体验参考</w:t>
            </w:r>
          </w:p>
        </w:tc>
        <w:tc>
          <w:tcPr>
            <w:tcW w:type="dxa" w:w="3005"/>
            <w:shd w:val="clear" w:fill="F2F6FA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设定合理的效果预期与对标基准</w:t>
            </w:r>
          </w:p>
        </w:tc>
        <w:tc>
          <w:tcPr>
            <w:tcW w:type="dxa" w:w="850"/>
            <w:shd w:val="clear" w:fill="F2F6FA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P2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21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上线后运营与迭代计划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Bad Case 反馈通道、是否有人工审核兜底、期望的迭代节奏</w:t>
            </w:r>
          </w:p>
        </w:tc>
        <w:tc>
          <w:tcPr>
            <w:tcW w:type="dxa" w:w="3005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数据闭环与持续优化机制设计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P2</w:t>
            </w:r>
          </w:p>
        </w:tc>
      </w:tr>
    </w:tbl>
    <w:p>
      <w:pPr>
        <w:spacing w:before="280" w:after="160"/>
      </w:pPr>
      <w:r>
        <w:rPr>
          <w:rFonts w:ascii="Calibri" w:hAnsi="Calibri" w:eastAsia="微软雅黑"/>
          <w:b/>
          <w:color w:val="1F3A5F"/>
          <w:sz w:val="30"/>
        </w:rPr>
        <w:t>三、材料对接方式建议</w:t>
      </w:r>
    </w:p>
    <w:p>
      <w:pPr>
        <w:spacing w:after="80"/>
        <w:ind w:left="283"/>
      </w:pPr>
      <w:r>
        <w:rPr>
          <w:rFonts w:ascii="Calibri" w:hAnsi="Calibri" w:eastAsia="微软雅黑"/>
          <w:b w:val="0"/>
          <w:sz w:val="21"/>
        </w:rPr>
        <w:t>1. Kickoff 对齐会：业务产品按本清单准备材料后，组织一次需求对齐会，逐项确认材料完整性；</w:t>
      </w:r>
    </w:p>
    <w:p>
      <w:pPr>
        <w:spacing w:after="80"/>
        <w:ind w:left="283"/>
      </w:pPr>
      <w:r>
        <w:rPr>
          <w:rFonts w:ascii="Calibri" w:hAnsi="Calibri" w:eastAsia="微软雅黑"/>
          <w:b w:val="0"/>
          <w:sz w:val="21"/>
        </w:rPr>
        <w:t>2. P0 材料齐套是启动门槛：P0 材料（第 1、2、5、6、8、10、11、14 项）全部到位后，算法侧正式启动需求分析与方案设计；</w:t>
      </w:r>
    </w:p>
    <w:p>
      <w:pPr>
        <w:spacing w:after="80"/>
        <w:ind w:left="283"/>
      </w:pPr>
      <w:r>
        <w:rPr>
          <w:rFonts w:ascii="Calibri" w:hAnsi="Calibri" w:eastAsia="微软雅黑"/>
          <w:b w:val="0"/>
          <w:sz w:val="21"/>
        </w:rPr>
        <w:t>3. P1 材料在方案评审前补齐：允许在启动后 1～2 周内补充，但需在算法需求文档评审前到位；</w:t>
      </w:r>
    </w:p>
    <w:p>
      <w:pPr>
        <w:spacing w:after="80"/>
        <w:ind w:left="283"/>
      </w:pPr>
      <w:r>
        <w:rPr>
          <w:rFonts w:ascii="Calibri" w:hAnsi="Calibri" w:eastAsia="微软雅黑"/>
          <w:b w:val="0"/>
          <w:sz w:val="21"/>
        </w:rPr>
        <w:t>4. 示例数据优先于文字描述：凡能用真实（脱敏）数据和 Good/Bad Case 说明的，尽量不用纯文字描述，避免理解偏差；</w:t>
      </w:r>
    </w:p>
    <w:p>
      <w:pPr>
        <w:spacing w:after="80"/>
        <w:ind w:left="283"/>
      </w:pPr>
      <w:r>
        <w:rPr>
          <w:rFonts w:ascii="Calibri" w:hAnsi="Calibri" w:eastAsia="微软雅黑"/>
          <w:b w:val="0"/>
          <w:sz w:val="21"/>
        </w:rPr>
        <w:t>5. 材料变更需同步：需求或材料发生变更时，及时同步算法侧，评估对方案与排期的影响。</w:t>
      </w:r>
    </w:p>
    <w:p>
      <w:pPr>
        <w:spacing w:before="280" w:after="160"/>
      </w:pPr>
      <w:r>
        <w:rPr>
          <w:rFonts w:ascii="Calibri" w:hAnsi="Calibri" w:eastAsia="微软雅黑"/>
          <w:b/>
          <w:color w:val="1F3A5F"/>
          <w:sz w:val="30"/>
        </w:rPr>
        <w:t>附：P0 材料快速自查清单</w:t>
      </w:r>
    </w:p>
    <w:p>
      <w:pPr>
        <w:spacing w:after="80"/>
        <w:ind w:left="283"/>
      </w:pPr>
      <w:r>
        <w:rPr>
          <w:rFonts w:ascii="Calibri" w:hAnsi="Calibri" w:eastAsia="微软雅黑"/>
          <w:b w:val="0"/>
          <w:sz w:val="21"/>
        </w:rPr>
        <w:t>☐ 1. 业务需求文档（PRD/BRD）</w:t>
      </w:r>
    </w:p>
    <w:p>
      <w:pPr>
        <w:spacing w:after="80"/>
        <w:ind w:left="283"/>
      </w:pPr>
      <w:r>
        <w:rPr>
          <w:rFonts w:ascii="Calibri" w:hAnsi="Calibri" w:eastAsia="微软雅黑"/>
          <w:b w:val="0"/>
          <w:sz w:val="21"/>
        </w:rPr>
        <w:t>☐ 2. 业务背景与痛点说明</w:t>
      </w:r>
    </w:p>
    <w:p>
      <w:pPr>
        <w:spacing w:after="80"/>
        <w:ind w:left="283"/>
      </w:pPr>
      <w:r>
        <w:rPr>
          <w:rFonts w:ascii="Calibri" w:hAnsi="Calibri" w:eastAsia="微软雅黑"/>
          <w:b w:val="0"/>
          <w:sz w:val="21"/>
        </w:rPr>
        <w:t>☐ 5. 业务目标与成功指标（KPI）</w:t>
      </w:r>
    </w:p>
    <w:p>
      <w:pPr>
        <w:spacing w:after="80"/>
        <w:ind w:left="283"/>
      </w:pPr>
      <w:r>
        <w:rPr>
          <w:rFonts w:ascii="Calibri" w:hAnsi="Calibri" w:eastAsia="微软雅黑"/>
          <w:b w:val="0"/>
          <w:sz w:val="21"/>
        </w:rPr>
        <w:t>☐ 6. 验收标准与容错偏好</w:t>
      </w:r>
    </w:p>
    <w:p>
      <w:pPr>
        <w:spacing w:after="80"/>
        <w:ind w:left="283"/>
      </w:pPr>
      <w:r>
        <w:rPr>
          <w:rFonts w:ascii="Calibri" w:hAnsi="Calibri" w:eastAsia="微软雅黑"/>
          <w:b w:val="0"/>
          <w:sz w:val="21"/>
        </w:rPr>
        <w:t>☐ 8. 现有数据情况说明 + 脱敏样例数据</w:t>
      </w:r>
    </w:p>
    <w:p>
      <w:pPr>
        <w:spacing w:after="80"/>
        <w:ind w:left="283"/>
      </w:pPr>
      <w:r>
        <w:rPr>
          <w:rFonts w:ascii="Calibri" w:hAnsi="Calibri" w:eastAsia="微软雅黑"/>
          <w:b w:val="0"/>
          <w:sz w:val="21"/>
        </w:rPr>
        <w:t>☐ 10. 数据安全与合规要求</w:t>
      </w:r>
    </w:p>
    <w:p>
      <w:pPr>
        <w:spacing w:after="80"/>
        <w:ind w:left="283"/>
      </w:pPr>
      <w:r>
        <w:rPr>
          <w:rFonts w:ascii="Calibri" w:hAnsi="Calibri" w:eastAsia="微软雅黑"/>
          <w:b w:val="0"/>
          <w:sz w:val="21"/>
        </w:rPr>
        <w:t>☐ 11. 输入/输出定义</w:t>
      </w:r>
    </w:p>
    <w:p>
      <w:pPr>
        <w:spacing w:after="80"/>
        <w:ind w:left="283"/>
      </w:pPr>
      <w:r>
        <w:rPr>
          <w:rFonts w:ascii="Calibri" w:hAnsi="Calibri" w:eastAsia="微软雅黑"/>
          <w:b w:val="0"/>
          <w:sz w:val="21"/>
        </w:rPr>
        <w:t>☐ 14. 性能与体验要求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