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00 · Orientaciones Semana 10</w:t>
      </w:r>
    </w:p>
    <w:p>
      <w:pPr>
        <w:jc w:val="center"/>
      </w:pPr>
      <w:r>
        <w:rPr>
          <w:rFonts w:ascii="Consolas" w:hAnsi="Consolas"/>
          <w:b/>
          <w:color w:val="548235"/>
          <w:sz w:val="18"/>
          <w:lang w:val="es-CL" w:eastAsia="es-CL" w:bidi="es-CL"/>
        </w:rPr>
        <w:t>Cierre, verificación y entrega de la Evaluación Parcial 2</w:t>
      </w:r>
    </w:p>
    <w:p>
      <w:pPr>
        <w:pStyle w:val="Heading1"/>
      </w:pPr>
      <w:r>
        <w:t>Objetivo de la semana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La Semana 10 corresponde al cierre de la primera parte de la evaluación. El trabajo del grupo debe concentrarse en estabilizar la versión final, comprobar que todos los artefactos funcionan y realizar la entrega individual en AVA.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E2F0D9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rFonts w:ascii="Consolas" w:hAnsi="Consolas"/>
                <w:b/>
                <w:color w:val="548235"/>
                <w:sz w:val="18"/>
                <w:lang w:val="es-CL" w:eastAsia="es-CL" w:bidi="es-CL"/>
              </w:rPr>
              <w:t>Resultado esperado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Al finalizar la semana debe existir una versión claramente identificable del proyecto, con sus artefactos correctamente subidos, para que el docente pueda revisarla y preparar la defensa técnica individual.</w:t>
            </w:r>
          </w:p>
        </w:tc>
      </w:tr>
    </w:tbl>
    <w:p>
      <w:pPr>
        <w:pStyle w:val="Heading1"/>
      </w:pPr>
      <w:r>
        <w:t>Prioridades de Semana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rPr>
          <w:tblHeader w:val="true"/>
        </w:trPr>
        <w:tc>
          <w:tcPr>
            <w:tcW w:type="dxa" w:w="124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Prioridad</w:t>
            </w:r>
          </w:p>
        </w:tc>
        <w:tc>
          <w:tcPr>
            <w:tcW w:type="dxa" w:w="408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Acción</w:t>
            </w:r>
          </w:p>
        </w:tc>
        <w:tc>
          <w:tcPr>
            <w:tcW w:type="dxa" w:w="385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Resultado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1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Resolver errores críticos de ejecución o navegación.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La aplicación inicia y puede demostrarse de principio a fin.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2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Finalizar las funcionalidades comprometidas para EP2.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No quedan flujos principales incompletos.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3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Ejecutar y revisar testing.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Las pruebas funcionan y la evidencia de cobertura está preparada.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4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Ordenar GitHub y documentación.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Repositorio, README, ERS V2 y documento de testing están actualizados.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5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Preparar video y archivos de entrega.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El video corresponde a la misma versión que será entregada.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6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Realizar la entrega individual en AVA.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Cada estudiante registra enlaces y adjunta sus artefactos dentro del plazo.</w:t>
            </w:r>
          </w:p>
        </w:tc>
      </w:tr>
    </w:tbl>
    <w:p>
      <w:pPr>
        <w:pStyle w:val="Heading1"/>
      </w:pPr>
      <w:r>
        <w:t>Qué debe evitarse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Agregar funcionalidades nuevas que pongan en riesgo una versión que ya funciona.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Cambiar la estructura completa del proyecto durante las últimas horas de entrega.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Dejar GitHub, testing, video o documentación para después de enviar el proyecto.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Entregar una versión diferente a la que se muestra en el video.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Confiar solamente en que «funciona en mi computador» sin probar una instalación limpia.</w:t>
      </w:r>
    </w:p>
    <w:p>
      <w:pPr>
        <w:pStyle w:val="Heading1"/>
      </w:pPr>
      <w:r>
        <w:t>Organización posterior a la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Instancia</w:t>
            </w:r>
          </w:p>
        </w:tc>
        <w:tc>
          <w:tcPr>
            <w:tcW w:type="dxa" w:w="419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Qué ocurrirá</w:t>
            </w:r>
          </w:p>
        </w:tc>
        <w:tc>
          <w:tcPr>
            <w:tcW w:type="dxa" w:w="283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Asistencia / participación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Primera sesión de la semana siguiente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El docente descargará los artefactos, revisará los proyectos y preparará preguntas personalizadas para cada defensa técnica.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La asistencia se registrará PRESENTE si el estudiante subió correctamente los artefactos de EP2 dentro del plazo.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Segunda sesión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Se realizará la defensa técnica individual sobre la versión efectivamente entregada.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El estudiante debe asistir PRESENCIALMENTE para responder su defensa.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CE4D6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rFonts w:ascii="Consolas" w:hAnsi="Consolas"/>
                <w:b/>
                <w:color w:val="C65911"/>
                <w:sz w:val="18"/>
                <w:lang w:val="es-CL" w:eastAsia="es-CL" w:bidi="es-CL"/>
              </w:rPr>
              <w:t>Importante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La primera sesión se utiliza para revisión docente y generación de preguntas. La segunda sesión requiere presencia física del estudiante para responder la defensa técnica individual.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09" w:right="794" w:bottom="680" w:left="794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sz w:val="16"/>
        <w:lang w:val="es-CL" w:eastAsia="es-CL" w:bidi="es-CL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onsolas" w:hAnsi="Consolas"/>
        <w:color w:val="17365D"/>
        <w:sz w:val="15"/>
        <w:lang w:val="es-CL" w:eastAsia="es-CL" w:bidi="es-CL"/>
      </w:rPr>
      <w:t>DSY1104 · Desarrollo Full Stack II · 2026-2 · Semana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