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CL" w:eastAsia="es-CL" w:bidi="es-CL"/>
        </w:rPr>
        <w:t>01 · Plan de Cierre y Entrega · Semana 10</w:t>
      </w:r>
    </w:p>
    <w:p>
      <w:pPr>
        <w:jc w:val="center"/>
      </w:pPr>
      <w:r>
        <w:rPr>
          <w:rFonts w:ascii="Consolas" w:hAnsi="Consolas"/>
          <w:b/>
          <w:color w:val="548235"/>
          <w:sz w:val="18"/>
          <w:lang w:val="es-CL" w:eastAsia="es-CL" w:bidi="es-CL"/>
        </w:rPr>
        <w:t>Secuencia de trabajo sugerida para finalizar EP2</w:t>
      </w:r>
    </w:p>
    <w:p>
      <w:pPr>
        <w:pStyle w:val="Heading1"/>
      </w:pPr>
      <w:r>
        <w:t>Etapa 1 · Partir desde la versión real</w:t>
      </w:r>
    </w:p>
    <w:p>
      <w:pPr>
        <w:ind w:left="340" w:hanging="255"/>
      </w:pPr>
      <w:r>
        <w:rPr>
          <w:rFonts w:ascii="Consolas" w:hAnsi="Consolas"/>
          <w:sz w:val="18"/>
          <w:lang w:val="es-CL" w:eastAsia="es-CL" w:bidi="es-CL"/>
        </w:rPr>
        <w:t>1. Actualizar o clonar el repositorio que será utilizado para la entrega.</w:t>
      </w:r>
    </w:p>
    <w:p>
      <w:pPr>
        <w:ind w:left="340" w:hanging="255"/>
      </w:pPr>
      <w:r>
        <w:rPr>
          <w:rFonts w:ascii="Consolas" w:hAnsi="Consolas"/>
          <w:sz w:val="18"/>
          <w:lang w:val="es-CL" w:eastAsia="es-CL" w:bidi="es-CL"/>
        </w:rPr>
        <w:t>2. Ejecutar npm install desde una copia limpia cuando sea posible.</w:t>
      </w:r>
    </w:p>
    <w:p>
      <w:pPr>
        <w:ind w:left="340" w:hanging="255"/>
      </w:pPr>
      <w:r>
        <w:rPr>
          <w:rFonts w:ascii="Consolas" w:hAnsi="Consolas"/>
          <w:sz w:val="18"/>
          <w:lang w:val="es-CL" w:eastAsia="es-CL" w:bidi="es-CL"/>
        </w:rPr>
        <w:t>3. Ejecutar npm run dev y recorrer las rutas principales.</w:t>
      </w:r>
    </w:p>
    <w:p>
      <w:pPr>
        <w:ind w:left="340" w:hanging="255"/>
      </w:pPr>
      <w:r>
        <w:rPr>
          <w:rFonts w:ascii="Consolas" w:hAnsi="Consolas"/>
          <w:sz w:val="18"/>
          <w:lang w:val="es-CL" w:eastAsia="es-CL" w:bidi="es-CL"/>
        </w:rPr>
        <w:t>4. Confirmar que las imágenes, datos y recursos cargan correctamente.</w:t>
      </w:r>
    </w:p>
    <w:p>
      <w:pPr>
        <w:ind w:left="340" w:hanging="255"/>
      </w:pPr>
      <w:r>
        <w:rPr>
          <w:rFonts w:ascii="Consolas" w:hAnsi="Consolas"/>
          <w:sz w:val="18"/>
          <w:lang w:val="es-CL" w:eastAsia="es-CL" w:bidi="es-CL"/>
        </w:rPr>
        <w:t>5. Anotar únicamente los pendientes que realmente deben resolverse antes de entregar.</w:t>
      </w:r>
    </w:p>
    <w:p>
      <w:pPr>
        <w:pStyle w:val="Heading1"/>
      </w:pPr>
      <w:r>
        <w:t>Etapa 2 · Resolver pendientes críticos</w:t>
      </w:r>
    </w:p>
    <w:tbl>
      <w:tblPr>
        <w:tblStyle w:val="TableGrid"/>
        <w:tblW w:type="auto" w:w="0"/>
        <w:jc w:val="center"/>
        <w:tblLook w:firstColumn="1" w:firstRow="1" w:lastColumn="0" w:lastRow="0" w:noHBand="0" w:noVBand="1" w:val="04A0"/>
      </w:tblPr>
      <w:tblGrid>
        <w:gridCol w:w="3551"/>
        <w:gridCol w:w="3551"/>
        <w:gridCol w:w="3551"/>
      </w:tblGrid>
      <w:tr>
        <w:trPr>
          <w:tblHeader w:val="true"/>
        </w:trPr>
        <w:tc>
          <w:tcPr>
            <w:tcW w:type="dxa" w:w="1814"/>
            <w:shd w:fill="17365D"/>
            <w:tcMar>
              <w:top w:w="80" w:type="dxa"/>
              <w:start w:w="100" w:type="dxa"/>
              <w:bottom w:w="80" w:type="dxa"/>
              <w:end w:w="100" w:type="dxa"/>
            </w:tcMar>
          </w:tcPr>
          <w:p>
            <w:pPr>
              <w:jc w:val="center"/>
            </w:pPr>
            <w:r>
              <w:rPr>
                <w:rFonts w:ascii="Consolas" w:hAnsi="Consolas"/>
                <w:b/>
                <w:color w:val="FFFFFF"/>
                <w:sz w:val="15"/>
                <w:lang w:val="es-CL" w:eastAsia="es-CL" w:bidi="es-CL"/>
              </w:rPr>
              <w:t>Tipo</w:t>
            </w:r>
          </w:p>
        </w:tc>
        <w:tc>
          <w:tcPr>
            <w:tcW w:type="dxa" w:w="5102"/>
            <w:shd w:fill="17365D"/>
            <w:tcMar>
              <w:top w:w="80" w:type="dxa"/>
              <w:start w:w="100" w:type="dxa"/>
              <w:bottom w:w="80" w:type="dxa"/>
              <w:end w:w="100" w:type="dxa"/>
            </w:tcMar>
          </w:tcPr>
          <w:p>
            <w:pPr>
              <w:jc w:val="center"/>
            </w:pPr>
            <w:r>
              <w:rPr>
                <w:rFonts w:ascii="Consolas" w:hAnsi="Consolas"/>
                <w:b/>
                <w:color w:val="FFFFFF"/>
                <w:sz w:val="15"/>
                <w:lang w:val="es-CL" w:eastAsia="es-CL" w:bidi="es-CL"/>
              </w:rPr>
              <w:t>Ejemplos</w:t>
            </w:r>
          </w:p>
        </w:tc>
        <w:tc>
          <w:tcPr>
            <w:tcW w:type="dxa" w:w="2268"/>
            <w:shd w:fill="17365D"/>
            <w:tcMar>
              <w:top w:w="80" w:type="dxa"/>
              <w:start w:w="100" w:type="dxa"/>
              <w:bottom w:w="80" w:type="dxa"/>
              <w:end w:w="100" w:type="dxa"/>
            </w:tcMar>
          </w:tcPr>
          <w:p>
            <w:pPr>
              <w:jc w:val="center"/>
            </w:pPr>
            <w:r>
              <w:rPr>
                <w:rFonts w:ascii="Consolas" w:hAnsi="Consolas"/>
                <w:b/>
                <w:color w:val="FFFFFF"/>
                <w:sz w:val="15"/>
                <w:lang w:val="es-CL" w:eastAsia="es-CL" w:bidi="es-CL"/>
              </w:rPr>
              <w:t>Prioridad</w:t>
            </w:r>
          </w:p>
        </w:tc>
      </w:tr>
      <w:tr>
        <w:trPr>
          <w:cantSplit/>
        </w:trPr>
        <w:tc>
          <w:tcPr>
            <w:tcW w:type="dxa" w:w="1814"/>
            <w:tcMar>
              <w:top w:w="80" w:type="dxa"/>
              <w:start w:w="100" w:type="dxa"/>
              <w:bottom w:w="80" w:type="dxa"/>
              <w:end w:w="100" w:type="dxa"/>
            </w:tcMar>
            <w:vAlign w:val="center"/>
          </w:tcPr>
          <w:p>
            <w:r>
              <w:rPr>
                <w:rFonts w:ascii="Consolas" w:hAnsi="Consolas"/>
                <w:sz w:val="15"/>
                <w:lang w:val="es-CL" w:eastAsia="es-CL" w:bidi="es-CL"/>
              </w:rPr>
              <w:t>Crítico</w:t>
            </w:r>
          </w:p>
        </w:tc>
        <w:tc>
          <w:tcPr>
            <w:tcW w:type="dxa" w:w="5102"/>
            <w:tcMar>
              <w:top w:w="80" w:type="dxa"/>
              <w:start w:w="100" w:type="dxa"/>
              <w:bottom w:w="80" w:type="dxa"/>
              <w:end w:w="100" w:type="dxa"/>
            </w:tcMar>
            <w:vAlign w:val="center"/>
          </w:tcPr>
          <w:p>
            <w:r>
              <w:rPr>
                <w:rFonts w:ascii="Consolas" w:hAnsi="Consolas"/>
                <w:sz w:val="15"/>
                <w:lang w:val="es-CL" w:eastAsia="es-CL" w:bidi="es-CL"/>
              </w:rPr>
              <w:t>El proyecto no inicia, ruta rota, formulario no funciona, error que impide continuar.</w:t>
            </w:r>
          </w:p>
        </w:tc>
        <w:tc>
          <w:tcPr>
            <w:tcW w:type="dxa" w:w="2268"/>
            <w:tcMar>
              <w:top w:w="80" w:type="dxa"/>
              <w:start w:w="100" w:type="dxa"/>
              <w:bottom w:w="80" w:type="dxa"/>
              <w:end w:w="100" w:type="dxa"/>
            </w:tcMar>
            <w:vAlign w:val="center"/>
          </w:tcPr>
          <w:p>
            <w:r>
              <w:rPr>
                <w:rFonts w:ascii="Consolas" w:hAnsi="Consolas"/>
                <w:sz w:val="15"/>
                <w:lang w:val="es-CL" w:eastAsia="es-CL" w:bidi="es-CL"/>
              </w:rPr>
              <w:t>Resolver antes que cualquier mejora visual.</w:t>
            </w:r>
          </w:p>
        </w:tc>
      </w:tr>
      <w:tr>
        <w:trPr>
          <w:cantSplit/>
        </w:trPr>
        <w:tc>
          <w:tcPr>
            <w:tcW w:type="dxa" w:w="1814"/>
            <w:tcMar>
              <w:top w:w="80" w:type="dxa"/>
              <w:start w:w="100" w:type="dxa"/>
              <w:bottom w:w="80" w:type="dxa"/>
              <w:end w:w="100" w:type="dxa"/>
            </w:tcMar>
            <w:vAlign w:val="center"/>
            <w:shd w:fill="F8FAFC"/>
          </w:tcPr>
          <w:p>
            <w:r>
              <w:rPr>
                <w:rFonts w:ascii="Consolas" w:hAnsi="Consolas"/>
                <w:sz w:val="15"/>
                <w:lang w:val="es-CL" w:eastAsia="es-CL" w:bidi="es-CL"/>
              </w:rPr>
              <w:t>Importante</w:t>
            </w:r>
          </w:p>
        </w:tc>
        <w:tc>
          <w:tcPr>
            <w:tcW w:type="dxa" w:w="5102"/>
            <w:tcMar>
              <w:top w:w="80" w:type="dxa"/>
              <w:start w:w="100" w:type="dxa"/>
              <w:bottom w:w="80" w:type="dxa"/>
              <w:end w:w="100" w:type="dxa"/>
            </w:tcMar>
            <w:vAlign w:val="center"/>
            <w:shd w:fill="F8FAFC"/>
          </w:tcPr>
          <w:p>
            <w:r>
              <w:rPr>
                <w:rFonts w:ascii="Consolas" w:hAnsi="Consolas"/>
                <w:sz w:val="15"/>
                <w:lang w:val="es-CL" w:eastAsia="es-CL" w:bidi="es-CL"/>
              </w:rPr>
              <w:t>Validación incompleta, comportamiento responsivo deficiente, test relevante fallando.</w:t>
            </w:r>
          </w:p>
        </w:tc>
        <w:tc>
          <w:tcPr>
            <w:tcW w:type="dxa" w:w="2268"/>
            <w:tcMar>
              <w:top w:w="80" w:type="dxa"/>
              <w:start w:w="100" w:type="dxa"/>
              <w:bottom w:w="80" w:type="dxa"/>
              <w:end w:w="100" w:type="dxa"/>
            </w:tcMar>
            <w:vAlign w:val="center"/>
            <w:shd w:fill="F8FAFC"/>
          </w:tcPr>
          <w:p>
            <w:r>
              <w:rPr>
                <w:rFonts w:ascii="Consolas" w:hAnsi="Consolas"/>
                <w:sz w:val="15"/>
                <w:lang w:val="es-CL" w:eastAsia="es-CL" w:bidi="es-CL"/>
              </w:rPr>
              <w:t>Resolver antes del cierre si afecta la evidencia.</w:t>
            </w:r>
          </w:p>
        </w:tc>
      </w:tr>
      <w:tr>
        <w:trPr>
          <w:cantSplit/>
        </w:trPr>
        <w:tc>
          <w:tcPr>
            <w:tcW w:type="dxa" w:w="1814"/>
            <w:tcMar>
              <w:top w:w="80" w:type="dxa"/>
              <w:start w:w="100" w:type="dxa"/>
              <w:bottom w:w="80" w:type="dxa"/>
              <w:end w:w="100" w:type="dxa"/>
            </w:tcMar>
            <w:vAlign w:val="center"/>
          </w:tcPr>
          <w:p>
            <w:r>
              <w:rPr>
                <w:rFonts w:ascii="Consolas" w:hAnsi="Consolas"/>
                <w:sz w:val="15"/>
                <w:lang w:val="es-CL" w:eastAsia="es-CL" w:bidi="es-CL"/>
              </w:rPr>
              <w:t>Mejora</w:t>
            </w:r>
          </w:p>
        </w:tc>
        <w:tc>
          <w:tcPr>
            <w:tcW w:type="dxa" w:w="5102"/>
            <w:tcMar>
              <w:top w:w="80" w:type="dxa"/>
              <w:start w:w="100" w:type="dxa"/>
              <w:bottom w:w="80" w:type="dxa"/>
              <w:end w:w="100" w:type="dxa"/>
            </w:tcMar>
            <w:vAlign w:val="center"/>
          </w:tcPr>
          <w:p>
            <w:r>
              <w:rPr>
                <w:rFonts w:ascii="Consolas" w:hAnsi="Consolas"/>
                <w:sz w:val="15"/>
                <w:lang w:val="es-CL" w:eastAsia="es-CL" w:bidi="es-CL"/>
              </w:rPr>
              <w:t>Detalles visuales, textos secundarios, optimizaciones no exigidas.</w:t>
            </w:r>
          </w:p>
        </w:tc>
        <w:tc>
          <w:tcPr>
            <w:tcW w:type="dxa" w:w="2268"/>
            <w:tcMar>
              <w:top w:w="80" w:type="dxa"/>
              <w:start w:w="100" w:type="dxa"/>
              <w:bottom w:w="80" w:type="dxa"/>
              <w:end w:w="100" w:type="dxa"/>
            </w:tcMar>
            <w:vAlign w:val="center"/>
          </w:tcPr>
          <w:p>
            <w:r>
              <w:rPr>
                <w:rFonts w:ascii="Consolas" w:hAnsi="Consolas"/>
                <w:sz w:val="15"/>
                <w:lang w:val="es-CL" w:eastAsia="es-CL" w:bidi="es-CL"/>
              </w:rPr>
              <w:t>Solo realizar si la entrega ya está estable.</w:t>
            </w:r>
          </w:p>
        </w:tc>
      </w:tr>
    </w:tbl>
    <w:p>
      <w:pPr>
        <w:pStyle w:val="Heading1"/>
      </w:pPr>
      <w:r>
        <w:t>Etapa 3 · Verificar testing</w:t>
      </w:r>
    </w:p>
    <w:p>
      <w:pPr>
        <w:ind w:left="255" w:hanging="142"/>
      </w:pPr>
      <w:r>
        <w:rPr>
          <w:rFonts w:ascii="Consolas" w:hAnsi="Consolas"/>
          <w:sz w:val="18"/>
          <w:lang w:val="es-CL" w:eastAsia="es-CL" w:bidi="es-CL"/>
        </w:rPr>
        <w:t>☐ Ejecutar todas las pruebas.</w:t>
      </w:r>
    </w:p>
    <w:p>
      <w:pPr>
        <w:ind w:left="255" w:hanging="142"/>
      </w:pPr>
      <w:r>
        <w:rPr>
          <w:rFonts w:ascii="Consolas" w:hAnsi="Consolas"/>
          <w:sz w:val="18"/>
          <w:lang w:val="es-CL" w:eastAsia="es-CL" w:bidi="es-CL"/>
        </w:rPr>
        <w:t>☐ Confirmar que las 10 pruebas significativas estén presentes para aspirar al nivel máximo del indicador.</w:t>
      </w:r>
    </w:p>
    <w:p>
      <w:pPr>
        <w:ind w:left="255" w:hanging="142"/>
      </w:pPr>
      <w:r>
        <w:rPr>
          <w:rFonts w:ascii="Consolas" w:hAnsi="Consolas"/>
          <w:sz w:val="18"/>
          <w:lang w:val="es-CL" w:eastAsia="es-CL" w:bidi="es-CL"/>
        </w:rPr>
        <w:t>☐ Revisar que existan pruebas de más de un tipo: lógica/validaciones, componentes e interacciones.</w:t>
      </w:r>
    </w:p>
    <w:p>
      <w:pPr>
        <w:ind w:left="255" w:hanging="142"/>
      </w:pPr>
      <w:r>
        <w:rPr>
          <w:rFonts w:ascii="Consolas" w:hAnsi="Consolas"/>
          <w:sz w:val="18"/>
          <w:lang w:val="es-CL" w:eastAsia="es-CL" w:bidi="es-CL"/>
        </w:rPr>
        <w:t>☐ Verificar mocks o spies cuando corresponda.</w:t>
      </w:r>
    </w:p>
    <w:p>
      <w:pPr>
        <w:ind w:left="255" w:hanging="142"/>
      </w:pPr>
      <w:r>
        <w:rPr>
          <w:rFonts w:ascii="Consolas" w:hAnsi="Consolas"/>
          <w:sz w:val="18"/>
          <w:lang w:val="es-CL" w:eastAsia="es-CL" w:bidi="es-CL"/>
        </w:rPr>
        <w:t>☐ Ejecutar cobertura y actualizar el documento de análisis.</w:t>
      </w:r>
    </w:p>
    <w:tbl>
      <w:tblPr>
        <w:tblW w:type="auto" w:w="0"/>
        <w:tblLook w:firstColumn="1" w:firstRow="1" w:lastColumn="0" w:lastRow="0" w:noHBand="0" w:noVBand="1" w:val="04A0"/>
      </w:tblPr>
      <w:tblGrid>
        <w:gridCol w:w="10652"/>
      </w:tblGrid>
      <w:tr>
        <w:tc>
          <w:tcPr>
            <w:tcW w:type="dxa" w:w="10652"/>
            <w:shd w:fill="F2F2F2"/>
            <w:tcMar>
              <w:top w:w="100" w:type="dxa"/>
              <w:start w:w="130" w:type="dxa"/>
              <w:bottom w:w="100" w:type="dxa"/>
              <w:end w:w="130" w:type="dxa"/>
            </w:tcMar>
          </w:tcPr>
          <w:p>
            <w:r>
              <w:rPr>
                <w:rFonts w:ascii="Consolas" w:hAnsi="Consolas"/>
                <w:sz w:val="17"/>
                <w:lang w:val="es-CL" w:eastAsia="es-CL" w:bidi="es-CL"/>
              </w:rPr>
              <w:t>npm test</w:t>
              <w:br/>
            </w:r>
            <w:r>
              <w:rPr>
                <w:rFonts w:ascii="Consolas" w:hAnsi="Consolas"/>
                <w:sz w:val="17"/>
                <w:lang w:val="es-CL" w:eastAsia="es-CL" w:bidi="es-CL"/>
              </w:rPr>
              <w:t>npm run test:coverage</w:t>
            </w:r>
          </w:p>
        </w:tc>
      </w:tr>
    </w:tbl>
    <w:p>
      <w:r>
        <w:br w:type="page"/>
      </w:r>
    </w:p>
    <w:p>
      <w:pPr>
        <w:pStyle w:val="Heading1"/>
      </w:pPr>
      <w:r>
        <w:t>Etapa 4 · Preparar evidencia</w:t>
      </w:r>
    </w:p>
    <w:p>
      <w:pPr>
        <w:ind w:left="255" w:hanging="142"/>
      </w:pPr>
      <w:r>
        <w:rPr>
          <w:rFonts w:ascii="Consolas" w:hAnsi="Consolas"/>
          <w:sz w:val="18"/>
          <w:lang w:val="es-CL" w:eastAsia="es-CL" w:bidi="es-CL"/>
        </w:rPr>
        <w:t>☐ Actualizar ERS V2.</w:t>
      </w:r>
    </w:p>
    <w:p>
      <w:pPr>
        <w:ind w:left="255" w:hanging="142"/>
      </w:pPr>
      <w:r>
        <w:rPr>
          <w:rFonts w:ascii="Consolas" w:hAnsi="Consolas"/>
          <w:sz w:val="18"/>
          <w:lang w:val="es-CL" w:eastAsia="es-CL" w:bidi="es-CL"/>
        </w:rPr>
        <w:t>☐ Finalizar documento de cobertura del testing.</w:t>
      </w:r>
    </w:p>
    <w:p>
      <w:pPr>
        <w:ind w:left="255" w:hanging="142"/>
      </w:pPr>
      <w:r>
        <w:rPr>
          <w:rFonts w:ascii="Consolas" w:hAnsi="Consolas"/>
          <w:sz w:val="18"/>
          <w:lang w:val="es-CL" w:eastAsia="es-CL" w:bidi="es-CL"/>
        </w:rPr>
        <w:t>☐ Revisar README e instrucciones de ejecución.</w:t>
      </w:r>
    </w:p>
    <w:p>
      <w:pPr>
        <w:ind w:left="255" w:hanging="142"/>
      </w:pPr>
      <w:r>
        <w:rPr>
          <w:rFonts w:ascii="Consolas" w:hAnsi="Consolas"/>
          <w:sz w:val="18"/>
          <w:lang w:val="es-CL" w:eastAsia="es-CL" w:bidi="es-CL"/>
        </w:rPr>
        <w:t>☐ Grabar o finalizar el video de demostración.</w:t>
      </w:r>
    </w:p>
    <w:p>
      <w:pPr>
        <w:ind w:left="255" w:hanging="142"/>
      </w:pPr>
      <w:r>
        <w:rPr>
          <w:rFonts w:ascii="Consolas" w:hAnsi="Consolas"/>
          <w:sz w:val="18"/>
          <w:lang w:val="es-CL" w:eastAsia="es-CL" w:bidi="es-CL"/>
        </w:rPr>
        <w:t>☐ Comprobar que la voz permita identificar quién está hablando; no es necesario mostrar el rostro.</w:t>
      </w:r>
    </w:p>
    <w:p>
      <w:pPr>
        <w:ind w:left="255" w:hanging="142"/>
      </w:pPr>
      <w:r>
        <w:rPr>
          <w:rFonts w:ascii="Consolas" w:hAnsi="Consolas"/>
          <w:sz w:val="18"/>
          <w:lang w:val="es-CL" w:eastAsia="es-CL" w:bidi="es-CL"/>
        </w:rPr>
        <w:t>☐ Verificar que todos los enlaces tengan permisos correctos.</w:t>
      </w:r>
    </w:p>
    <w:p>
      <w:pPr>
        <w:pStyle w:val="Heading1"/>
      </w:pPr>
      <w:r>
        <w:t>Etapa 5 · Identificar y entregar</w:t>
      </w:r>
    </w:p>
    <w:p>
      <w:pPr>
        <w:ind w:left="340" w:hanging="255"/>
      </w:pPr>
      <w:r>
        <w:rPr>
          <w:rFonts w:ascii="Consolas" w:hAnsi="Consolas"/>
          <w:sz w:val="18"/>
          <w:lang w:val="es-CL" w:eastAsia="es-CL" w:bidi="es-CL"/>
        </w:rPr>
        <w:t>1. Realizar el último commit correspondiente a la versión que se entregará.</w:t>
      </w:r>
    </w:p>
    <w:p>
      <w:pPr>
        <w:ind w:left="340" w:hanging="255"/>
      </w:pPr>
      <w:r>
        <w:rPr>
          <w:rFonts w:ascii="Consolas" w:hAnsi="Consolas"/>
          <w:sz w:val="18"/>
          <w:lang w:val="es-CL" w:eastAsia="es-CL" w:bidi="es-CL"/>
        </w:rPr>
        <w:t>2. Registrar el identificador del commit de entrega.</w:t>
      </w:r>
    </w:p>
    <w:p>
      <w:pPr>
        <w:ind w:left="340" w:hanging="255"/>
      </w:pPr>
      <w:r>
        <w:rPr>
          <w:rFonts w:ascii="Consolas" w:hAnsi="Consolas"/>
          <w:sz w:val="18"/>
          <w:lang w:val="es-CL" w:eastAsia="es-CL" w:bidi="es-CL"/>
        </w:rPr>
        <w:t>3. Descargar desde GitHub el ZIP que se adjuntará en AVA.</w:t>
      </w:r>
    </w:p>
    <w:p>
      <w:pPr>
        <w:ind w:left="340" w:hanging="255"/>
      </w:pPr>
      <w:r>
        <w:rPr>
          <w:rFonts w:ascii="Consolas" w:hAnsi="Consolas"/>
          <w:sz w:val="18"/>
          <w:lang w:val="es-CL" w:eastAsia="es-CL" w:bidi="es-CL"/>
        </w:rPr>
        <w:t>4. Comprobar que el ZIP corresponde al mismo estado mostrado en el video.</w:t>
      </w:r>
    </w:p>
    <w:p>
      <w:pPr>
        <w:ind w:left="340" w:hanging="255"/>
      </w:pPr>
      <w:r>
        <w:rPr>
          <w:rFonts w:ascii="Consolas" w:hAnsi="Consolas"/>
          <w:sz w:val="18"/>
          <w:lang w:val="es-CL" w:eastAsia="es-CL" w:bidi="es-CL"/>
        </w:rPr>
        <w:t>5. Completar la Ficha de Identificación de la Versión Entregada.</w:t>
      </w:r>
    </w:p>
    <w:p>
      <w:pPr>
        <w:ind w:left="340" w:hanging="255"/>
      </w:pPr>
      <w:r>
        <w:rPr>
          <w:rFonts w:ascii="Consolas" w:hAnsi="Consolas"/>
          <w:sz w:val="18"/>
          <w:lang w:val="es-CL" w:eastAsia="es-CL" w:bidi="es-CL"/>
        </w:rPr>
        <w:t>6. Cada estudiante debe subir personalmente sus enlaces y artefactos al AVA antes del cierre.</w:t>
      </w:r>
    </w:p>
    <w:tbl>
      <w:tblPr>
        <w:tblW w:type="auto" w:w="0"/>
        <w:tblLook w:firstColumn="1" w:firstRow="1" w:lastColumn="0" w:lastRow="0" w:noHBand="0" w:noVBand="1" w:val="04A0"/>
      </w:tblPr>
      <w:tblGrid>
        <w:gridCol w:w="10652"/>
      </w:tblGrid>
      <w:tr>
        <w:tc>
          <w:tcPr>
            <w:tcW w:type="dxa" w:w="10652"/>
            <w:shd w:fill="F2F2F2"/>
            <w:tcMar>
              <w:top w:w="100" w:type="dxa"/>
              <w:start w:w="130" w:type="dxa"/>
              <w:bottom w:w="100" w:type="dxa"/>
              <w:end w:w="130" w:type="dxa"/>
            </w:tcMar>
          </w:tcPr>
          <w:p>
            <w:r>
              <w:rPr>
                <w:rFonts w:ascii="Consolas" w:hAnsi="Consolas"/>
                <w:sz w:val="17"/>
                <w:lang w:val="es-CL" w:eastAsia="es-CL" w:bidi="es-CL"/>
              </w:rPr>
              <w:t>git status</w:t>
              <w:br/>
            </w:r>
            <w:r>
              <w:rPr>
                <w:rFonts w:ascii="Consolas" w:hAnsi="Consolas"/>
                <w:sz w:val="17"/>
                <w:lang w:val="es-CL" w:eastAsia="es-CL" w:bidi="es-CL"/>
              </w:rPr>
              <w:t>git log -1 --oneline</w:t>
            </w:r>
          </w:p>
        </w:tc>
      </w:tr>
    </w:tbl>
    <w:p>
      <w:pPr>
        <w:pStyle w:val="Heading1"/>
      </w:pPr>
      <w:r>
        <w:t>Qué ocurrirá después</w:t>
      </w:r>
    </w:p>
    <w:tbl>
      <w:tblPr>
        <w:tblW w:type="auto" w:w="0"/>
        <w:tblLook w:firstColumn="1" w:firstRow="1" w:lastColumn="0" w:lastRow="0" w:noHBand="0" w:noVBand="1" w:val="04A0"/>
      </w:tblPr>
      <w:tblGrid>
        <w:gridCol w:w="10652"/>
      </w:tblGrid>
      <w:tr>
        <w:tc>
          <w:tcPr>
            <w:tcW w:type="dxa" w:w="10652"/>
            <w:shd w:fill="D9EAF7"/>
            <w:tcMar>
              <w:top w:w="105" w:type="dxa"/>
              <w:start w:w="125" w:type="dxa"/>
              <w:bottom w:w="105" w:type="dxa"/>
              <w:end w:w="125" w:type="dxa"/>
            </w:tcMar>
          </w:tcPr>
          <w:p>
            <w:r>
              <w:rPr>
                <w:rFonts w:ascii="Consolas" w:hAnsi="Consolas"/>
                <w:b/>
                <w:color w:val="17365D"/>
                <w:sz w:val="18"/>
                <w:lang w:val="es-CL" w:eastAsia="es-CL" w:bidi="es-CL"/>
              </w:rPr>
              <w:t>Primera sesión</w:t>
              <w:br/>
            </w:r>
            <w:r>
              <w:rPr>
                <w:rFonts w:ascii="Consolas" w:hAnsi="Consolas"/>
                <w:sz w:val="17"/>
                <w:lang w:val="es-CL" w:eastAsia="es-CL" w:bidi="es-CL"/>
              </w:rPr>
              <w:t>El docente descargará y revisará los artefactos entregados. La asistencia de esta primera sesión se registrará PRESENTE si el estudiante realizó correctamente su entrega individual de EP2 dentro del plazo. Durante esta revisión se generarán las preguntas personalizadas para la defensa.</w:t>
            </w:r>
          </w:p>
        </w:tc>
      </w:tr>
    </w:tbl>
    <w:tbl>
      <w:tblPr>
        <w:tblW w:type="auto" w:w="0"/>
        <w:tblLook w:firstColumn="1" w:firstRow="1" w:lastColumn="0" w:lastRow="0" w:noHBand="0" w:noVBand="1" w:val="04A0"/>
      </w:tblPr>
      <w:tblGrid>
        <w:gridCol w:w="10652"/>
      </w:tblGrid>
      <w:tr>
        <w:tc>
          <w:tcPr>
            <w:tcW w:type="dxa" w:w="10652"/>
            <w:shd w:fill="FCE4D6"/>
            <w:tcMar>
              <w:top w:w="105" w:type="dxa"/>
              <w:start w:w="125" w:type="dxa"/>
              <w:bottom w:w="105" w:type="dxa"/>
              <w:end w:w="125" w:type="dxa"/>
            </w:tcMar>
          </w:tcPr>
          <w:p>
            <w:r>
              <w:rPr>
                <w:rFonts w:ascii="Consolas" w:hAnsi="Consolas"/>
                <w:b/>
                <w:color w:val="C65911"/>
                <w:sz w:val="18"/>
                <w:lang w:val="es-CL" w:eastAsia="es-CL" w:bidi="es-CL"/>
              </w:rPr>
              <w:t>Segunda sesión</w:t>
              <w:br/>
            </w:r>
            <w:r>
              <w:rPr>
                <w:rFonts w:ascii="Consolas" w:hAnsi="Consolas"/>
                <w:sz w:val="17"/>
                <w:lang w:val="es-CL" w:eastAsia="es-CL" w:bidi="es-CL"/>
              </w:rPr>
              <w:t>Cada estudiante deberá presentarse PRESENCIALMENTE para responder su defensa técnica individual sobre la versión efectivamente entregada.</w:t>
            </w:r>
          </w:p>
        </w:tc>
      </w:tr>
    </w:tbl>
    <w:sectPr w:rsidR="00FC693F" w:rsidRPr="0006063C" w:rsidSect="00034616">
      <w:headerReference w:type="default" r:id="rId9"/>
      <w:footerReference w:type="default" r:id="rId10"/>
      <w:pgSz w:w="12240" w:h="15840"/>
      <w:pgMar w:top="709" w:right="794" w:bottom="680" w:left="794"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sz w:val="16"/>
        <w:lang w:val="es-CL" w:eastAsia="es-CL" w:bidi="es-CL"/>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onsolas" w:hAnsi="Consolas"/>
        <w:color w:val="17365D"/>
        <w:sz w:val="15"/>
        <w:lang w:val="es-CL" w:eastAsia="es-CL" w:bidi="es-CL"/>
      </w:rPr>
      <w:t>DSY1104 · Desarrollo Full Stack II · 2026-2 · Semana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nsolas" w:hAnsi="Consolas"/>
      <w:b/>
      <w:bCs/>
      <w:color w:val="C65911"/>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nsolas" w:hAnsi="Consolas"/>
      <w:b/>
      <w:bCs/>
      <w:color w:val="54823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nsolas" w:hAnsi="Consolas"/>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