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lang w:val="es-CL" w:eastAsia="es-CL" w:bidi="es-CL"/>
        </w:rPr>
        <w:t>04 · Preparación para la Defensa Técnica · Semana 11</w:t>
      </w:r>
    </w:p>
    <w:p>
      <w:pPr>
        <w:jc w:val="center"/>
      </w:pPr>
      <w:r>
        <w:rPr>
          <w:rFonts w:ascii="Consolas" w:hAnsi="Consolas"/>
          <w:b/>
          <w:color w:val="548235"/>
          <w:sz w:val="18"/>
          <w:lang w:val="es-CL" w:eastAsia="es-CL" w:bidi="es-CL"/>
        </w:rPr>
        <w:t>Primera sesión: revisión docente · Segunda sesión: defensa presencial</w:t>
      </w:r>
    </w:p>
    <w:p>
      <w:pPr>
        <w:pStyle w:val="Heading1"/>
      </w:pPr>
      <w:r>
        <w:t>Organización de la semana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rPr>
          <w:tblHeader w:val="true"/>
        </w:trPr>
        <w:tc>
          <w:tcPr>
            <w:tcW w:type="dxa" w:w="170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5"/>
                <w:lang w:val="es-CL" w:eastAsia="es-CL" w:bidi="es-CL"/>
              </w:rPr>
              <w:t>Sesión</w:t>
            </w:r>
          </w:p>
        </w:tc>
        <w:tc>
          <w:tcPr>
            <w:tcW w:type="dxa" w:w="3969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5"/>
                <w:lang w:val="es-CL" w:eastAsia="es-CL" w:bidi="es-CL"/>
              </w:rPr>
              <w:t>Actividad</w:t>
            </w:r>
          </w:p>
        </w:tc>
        <w:tc>
          <w:tcPr>
            <w:tcW w:type="dxa" w:w="362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5"/>
                <w:lang w:val="es-CL" w:eastAsia="es-CL" w:bidi="es-CL"/>
              </w:rPr>
              <w:t>Qué debe hacer el estudiante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Primera sesión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El docente descargará los artefactos, revisará los proyectos y generará preguntas personalizadas basadas en la entrega real.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Tener la entrega individual correctamente registrada. La asistencia se marcará PRESENTE si los artefactos de EP2 fueron subidos dentro del plazo.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Segunda sesión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Defensa técnica individual.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Asistir PRESENCIALMENTE y responder las preguntas sobre la versión entregada.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fill="FCE4D6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rFonts w:ascii="Consolas" w:hAnsi="Consolas"/>
                <w:b/>
                <w:color w:val="C65911"/>
                <w:sz w:val="18"/>
                <w:lang w:val="es-CL" w:eastAsia="es-CL" w:bidi="es-CL"/>
              </w:rPr>
              <w:t>Importante</w:t>
              <w:br/>
            </w:r>
            <w:r>
              <w:rPr>
                <w:rFonts w:ascii="Consolas" w:hAnsi="Consolas"/>
                <w:sz w:val="17"/>
                <w:lang w:val="es-CL" w:eastAsia="es-CL" w:bidi="es-CL"/>
              </w:rPr>
              <w:t>La primera sesión no corresponde a una defensa del estudiante. Es una sesión de revisión docente. La segunda sesión sí exige presencia física para la defensa técnica individual.</w:t>
            </w:r>
          </w:p>
        </w:tc>
      </w:tr>
    </w:tbl>
    <w:p>
      <w:pPr>
        <w:pStyle w:val="Heading1"/>
      </w:pPr>
      <w:r>
        <w:t>Propósito de la preparación</w:t>
      </w:r>
    </w:p>
    <w:p>
      <w:r>
        <w:rPr>
          <w:rFonts w:ascii="Consolas" w:hAnsi="Consolas"/>
          <w:b w:val="0"/>
          <w:sz w:val="18"/>
          <w:lang w:val="es-CL" w:eastAsia="es-CL" w:bidi="es-CL"/>
        </w:rPr>
        <w:t>Después de la entrega no es necesario memorizar definiciones extensas. La preparación debe concentrarse en comprender la versión real del proyecto que fue entregada y ser capaz de localizar y explicar su funcionamiento.</w:t>
      </w:r>
    </w:p>
    <w:p>
      <w:pPr>
        <w:pStyle w:val="Heading1"/>
      </w:pPr>
      <w:r>
        <w:t>Cada integrante debería poder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Abrir el proyecto y ubicar rápidamente pages, components, rutas, formularios y pruebas.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Explicar por qué ciertos elementos se separaron en componentes.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Explicar al menos un uso concreto de props y un uso de state.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Describir cómo funciona una ruta y cómo se integra con el Layout.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Explicar una validación real del proyecto.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Abrir y explicar una o dos pruebas unitarias.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Interpretar qué significa que una prueba pase o falle.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Explicar un mock o spy si el proyecto los utiliza.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Mostrar y explicar aportes personales en GitHub.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Relacionar su explicación con funcionalidades reales de la versión entregada.</w:t>
      </w:r>
    </w:p>
    <w:p>
      <w:r>
        <w:br w:type="page"/>
      </w:r>
    </w:p>
    <w:p>
      <w:pPr>
        <w:pStyle w:val="Heading1"/>
      </w:pPr>
      <w:r>
        <w:t>Preguntas de práctica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rPr>
          <w:tblHeader w:val="true"/>
        </w:trPr>
        <w:tc>
          <w:tcPr>
            <w:tcW w:type="dxa" w:w="226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5"/>
                <w:lang w:val="es-CL" w:eastAsia="es-CL" w:bidi="es-CL"/>
              </w:rPr>
              <w:t>Área</w:t>
            </w:r>
          </w:p>
        </w:tc>
        <w:tc>
          <w:tcPr>
            <w:tcW w:type="dxa" w:w="6917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5"/>
                <w:lang w:val="es-CL" w:eastAsia="es-CL" w:bidi="es-CL"/>
              </w:rPr>
              <w:t>Pregunta de práctica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Componentes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¿Por qué este elemento está separado como componente y dónde se reutiliza?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Props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¿Qué información recibe este componente y desde dónde se envía?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State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¿Qué cambio en la interfaz provoca este estado?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Router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¿Qué ruta carga esta página y cómo se configura?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Validación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¿Qué ocurre si el usuario ingresa un dato inválido? Muéstralo en código.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Testing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¿Qué comportamiento verifica esta prueba y por qué es importante?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Mocks / spies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¿Qué función o dependencia están simulando y qué verifican?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GitHub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Muéstrame un cambio tuyo y explica qué problema resolvió.</w:t>
            </w:r>
          </w:p>
        </w:tc>
      </w:tr>
    </w:tbl>
    <w:p>
      <w:pPr>
        <w:pStyle w:val="Heading1"/>
      </w:pPr>
      <w:r>
        <w:t>Forma recomendada de estudiar</w:t>
      </w:r>
    </w:p>
    <w:p>
      <w:pPr>
        <w:ind w:left="340" w:hanging="255"/>
      </w:pPr>
      <w:r>
        <w:rPr>
          <w:rFonts w:ascii="Consolas" w:hAnsi="Consolas"/>
          <w:sz w:val="18"/>
          <w:lang w:val="es-CL" w:eastAsia="es-CL" w:bidi="es-CL"/>
        </w:rPr>
        <w:t>1. Abrir la versión exacta entregada.</w:t>
      </w:r>
    </w:p>
    <w:p>
      <w:pPr>
        <w:ind w:left="340" w:hanging="255"/>
      </w:pPr>
      <w:r>
        <w:rPr>
          <w:rFonts w:ascii="Consolas" w:hAnsi="Consolas"/>
          <w:sz w:val="18"/>
          <w:lang w:val="es-CL" w:eastAsia="es-CL" w:bidi="es-CL"/>
        </w:rPr>
        <w:t>2. Recorrer una funcionalidad desde la interfaz hasta los archivos que la implementan.</w:t>
      </w:r>
    </w:p>
    <w:p>
      <w:pPr>
        <w:ind w:left="340" w:hanging="255"/>
      </w:pPr>
      <w:r>
        <w:rPr>
          <w:rFonts w:ascii="Consolas" w:hAnsi="Consolas"/>
          <w:sz w:val="18"/>
          <w:lang w:val="es-CL" w:eastAsia="es-CL" w:bidi="es-CL"/>
        </w:rPr>
        <w:t>3. Seleccionar dos o tres componentes importantes y practicar su explicación.</w:t>
      </w:r>
    </w:p>
    <w:p>
      <w:pPr>
        <w:ind w:left="340" w:hanging="255"/>
      </w:pPr>
      <w:r>
        <w:rPr>
          <w:rFonts w:ascii="Consolas" w:hAnsi="Consolas"/>
          <w:sz w:val="18"/>
          <w:lang w:val="es-CL" w:eastAsia="es-CL" w:bidi="es-CL"/>
        </w:rPr>
        <w:t>4. Revisar las 10 pruebas y comprender qué verifica cada una.</w:t>
      </w:r>
    </w:p>
    <w:p>
      <w:pPr>
        <w:ind w:left="340" w:hanging="255"/>
      </w:pPr>
      <w:r>
        <w:rPr>
          <w:rFonts w:ascii="Consolas" w:hAnsi="Consolas"/>
          <w:sz w:val="18"/>
          <w:lang w:val="es-CL" w:eastAsia="es-CL" w:bidi="es-CL"/>
        </w:rPr>
        <w:t>5. Revisar los commits propios.</w:t>
      </w:r>
    </w:p>
    <w:p>
      <w:pPr>
        <w:ind w:left="340" w:hanging="255"/>
      </w:pPr>
      <w:r>
        <w:rPr>
          <w:rFonts w:ascii="Consolas" w:hAnsi="Consolas"/>
          <w:sz w:val="18"/>
          <w:lang w:val="es-CL" w:eastAsia="es-CL" w:bidi="es-CL"/>
        </w:rPr>
        <w:t>6. Practicar explicaciones breves utilizando el código real en pantalla.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fill="E2F0D9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rFonts w:ascii="Consolas" w:hAnsi="Consolas"/>
                <w:b/>
                <w:color w:val="548235"/>
                <w:sz w:val="18"/>
                <w:lang w:val="es-CL" w:eastAsia="es-CL" w:bidi="es-CL"/>
              </w:rPr>
              <w:t>Recuerde</w:t>
              <w:br/>
            </w:r>
            <w:r>
              <w:rPr>
                <w:rFonts w:ascii="Consolas" w:hAnsi="Consolas"/>
                <w:sz w:val="17"/>
                <w:lang w:val="es-CL" w:eastAsia="es-CL" w:bidi="es-CL"/>
              </w:rPr>
              <w:t>Las preguntas serán generadas por el docente durante la primera sesión, a partir de los artefactos efectivamente entregados. Saber localizar, explicar y justificar el propio código será más útil que memorizar definiciones aisladas.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09" w:right="794" w:bottom="680" w:left="794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onsolas" w:hAnsi="Consolas"/>
        <w:sz w:val="16"/>
        <w:lang w:val="es-CL" w:eastAsia="es-CL" w:bidi="es-CL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onsolas" w:hAnsi="Consolas"/>
        <w:color w:val="17365D"/>
        <w:sz w:val="15"/>
        <w:lang w:val="es-CL" w:eastAsia="es-CL" w:bidi="es-CL"/>
      </w:rPr>
      <w:t>DSY1104 · Desarrollo Full Stack II · 2026-2 · Preparación Semana 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nsolas" w:hAnsi="Consolas"/>
      <w:b/>
      <w:bCs/>
      <w:color w:val="C65911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nsolas" w:hAnsi="Consolas"/>
      <w:b/>
      <w:bCs/>
      <w:color w:val="548235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onsolas" w:hAnsi="Consolas"/>
      <w:b/>
      <w:color w:val="17365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