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lang w:val="es-CL" w:eastAsia="es-CL" w:bidi="es-CL"/>
        </w:rPr>
        <w:t>06 · Guía de Testing · Vitest + React Testing Library · EP2</w:t>
      </w:r>
    </w:p>
    <w:p>
      <w:pPr>
        <w:jc w:val="center"/>
      </w:pPr>
      <w:r>
        <w:rPr>
          <w:rFonts w:ascii="Consolas" w:hAnsi="Consolas"/>
          <w:b/>
          <w:color w:val="548235"/>
          <w:sz w:val="18"/>
          <w:lang w:val="es-CL" w:eastAsia="es-CL" w:bidi="es-CL"/>
        </w:rPr>
        <w:t>Criterios para completar las pruebas y el documento de cobertura</w:t>
      </w:r>
    </w:p>
    <w:p>
      <w:pPr>
        <w:pStyle w:val="Heading1"/>
      </w:pPr>
      <w:r>
        <w:t>1. Adaptación técnica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/>
                <w:b/>
                <w:color w:val="17365D"/>
                <w:sz w:val="18"/>
                <w:lang w:val="es-CL" w:eastAsia="es-CL" w:bidi="es-CL"/>
              </w:rPr>
              <w:t>Herramientas utilizadas</w:t>
              <w:br/>
            </w:r>
            <w:r>
              <w:rPr>
                <w:rFonts w:ascii="Consolas" w:hAnsi="Consolas"/>
                <w:sz w:val="17"/>
                <w:lang w:val="es-CL" w:eastAsia="es-CL" w:bidi="es-CL"/>
              </w:rPr>
              <w:t>Para esta ejecución de DSY1104 se utilizarán Vitest + React Testing Library en lugar de Jasmine/Karma. El objetivo de la rúbrica se mantiene: demostrar que el equipo sabe configurar, escribir, ejecutar y analizar pruebas unitarias de componentes frontend.</w:t>
            </w:r>
          </w:p>
        </w:tc>
      </w:tr>
    </w:tbl>
    <w:p>
      <w:pPr>
        <w:pStyle w:val="Heading1"/>
      </w:pPr>
      <w:r>
        <w:t>2. Cantidad y diversidad</w:t>
      </w:r>
    </w:p>
    <w:p>
      <w:r>
        <w:rPr>
          <w:rFonts w:ascii="Consolas" w:hAnsi="Consolas"/>
          <w:b w:val="0"/>
          <w:sz w:val="18"/>
          <w:lang w:val="es-CL" w:eastAsia="es-CL" w:bidi="es-CL"/>
        </w:rPr>
        <w:t>Para aspirar al máximo nivel del indicador de pruebas, el proyecto debe demostrar 10 pruebas unitarias efectivas. No conviene que las 10 sean variaciones triviales de la misma función.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835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6"/>
                <w:lang w:val="es-CL" w:eastAsia="es-CL" w:bidi="es-CL"/>
              </w:rPr>
              <w:t>Tipo de evidencia</w:t>
            </w:r>
          </w:p>
        </w:tc>
        <w:tc>
          <w:tcPr>
            <w:tcW w:type="dxa" w:w="635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6"/>
                <w:lang w:val="es-CL" w:eastAsia="es-CL" w:bidi="es-CL"/>
              </w:rPr>
              <w:t>Ejemplos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Lógica y validaciones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Correo válido/no válido, campos obligatorios, rangos, reglas del negocio.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Componentes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Renderizado de datos, props, contenido condicional, estados visuales.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Interacciones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Click, escritura, envío de formulario, cambio de estado, navegación controlada.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Mocks / spies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Funciones simuladas, dependencias aisladas o verificación de llamadas cuando corresponda.</w:t>
            </w:r>
          </w:p>
        </w:tc>
      </w:tr>
    </w:tbl>
    <w:p>
      <w:pPr>
        <w:pStyle w:val="Heading1"/>
      </w:pPr>
      <w:r>
        <w:t>3. Comandos mínimos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onsolas" w:hAnsi="Consolas"/>
                <w:sz w:val="17"/>
                <w:lang w:val="es-CL" w:eastAsia="es-CL" w:bidi="es-CL"/>
              </w:rPr>
              <w:t>npm test</w:t>
              <w:br/>
            </w:r>
            <w:r>
              <w:rPr>
                <w:rFonts w:ascii="Consolas" w:hAnsi="Consolas"/>
                <w:sz w:val="17"/>
                <w:lang w:val="es-CL" w:eastAsia="es-CL" w:bidi="es-CL"/>
              </w:rPr>
              <w:t>npm run test:watch</w:t>
              <w:br/>
            </w:r>
            <w:r>
              <w:rPr>
                <w:rFonts w:ascii="Consolas" w:hAnsi="Consolas"/>
                <w:sz w:val="17"/>
                <w:lang w:val="es-CL" w:eastAsia="es-CL" w:bidi="es-CL"/>
              </w:rPr>
              <w:t>npm run test:coverage</w:t>
            </w:r>
          </w:p>
        </w:tc>
      </w:tr>
    </w:tbl>
    <w:p>
      <w:r>
        <w:rPr>
          <w:rFonts w:ascii="Consolas" w:hAnsi="Consolas"/>
          <w:b w:val="0"/>
          <w:sz w:val="18"/>
          <w:lang w:val="es-CL" w:eastAsia="es-CL" w:bidi="es-CL"/>
        </w:rPr>
        <w:t>Los nombres exactos de los scripts dependen del package.json del proyecto. Si el equipo utiliza otros nombres, debe documentarlos.</w:t>
      </w:r>
    </w:p>
    <w:p>
      <w:pPr>
        <w:pStyle w:val="Heading1"/>
      </w:pPr>
      <w:r>
        <w:t>4. Qué debe demostrar una buena prueba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Tiene un propósito claro: se entiende qué comportamiento intenta verificar.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Prepara los datos necesarios sin depender de información externa innecesaria.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Ejecuta una acción o renderiza el componente.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Comprueba un resultado observable.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Puede repetirse y entregar el mismo resultado.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No se limita a comprobar que el archivo existe.</w:t>
      </w:r>
    </w:p>
    <w:p>
      <w:pPr>
        <w:pStyle w:val="Heading1"/>
      </w:pPr>
      <w:r>
        <w:t>5. Mocks y spies</w:t>
      </w:r>
    </w:p>
    <w:p>
      <w:r>
        <w:rPr>
          <w:rFonts w:ascii="Consolas" w:hAnsi="Consolas"/>
          <w:b w:val="0"/>
          <w:sz w:val="18"/>
          <w:lang w:val="es-CL" w:eastAsia="es-CL" w:bidi="es-CL"/>
        </w:rPr>
        <w:t>El indicador de proceso de testing considera el uso de mocks y el análisis de resultados. Utilícenlos cuando permitan aislar una dependencia o comprobar que una función fue llamada.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onsolas" w:hAnsi="Consolas"/>
                <w:sz w:val="17"/>
                <w:lang w:val="es-CL" w:eastAsia="es-CL" w:bidi="es-CL"/>
              </w:rPr>
              <w:t>const guardar = vi.fn();</w:t>
              <w:br/>
            </w:r>
            <w:r>
              <w:rPr>
                <w:rFonts w:ascii="Consolas" w:hAnsi="Consolas"/>
                <w:sz w:val="17"/>
                <w:lang w:val="es-CL" w:eastAsia="es-CL" w:bidi="es-CL"/>
              </w:rPr>
              <w:br/>
            </w:r>
            <w:r>
              <w:rPr>
                <w:rFonts w:ascii="Consolas" w:hAnsi="Consolas"/>
                <w:sz w:val="17"/>
                <w:lang w:val="es-CL" w:eastAsia="es-CL" w:bidi="es-CL"/>
              </w:rPr>
              <w:t>expect(guardar).toHaveBeenCalled();</w:t>
            </w:r>
          </w:p>
        </w:tc>
      </w:tr>
    </w:tbl>
    <w:p>
      <w:pPr>
        <w:pStyle w:val="Heading1"/>
      </w:pPr>
      <w:r>
        <w:t>6. Documento de cobertura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Identificar el entorno de pruebas y las dependencias principales.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Enumerar las pruebas y explicar qué verifica cada una.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Relacionar las pruebas con componentes o funcionalidades reales del proyecto.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Explicar los mocks/spies utilizados.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Incorporar resultados de ejecución y cobertura.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Analizar qué partes del proyecto tienen buena cobertura y cuáles requieren mejoras.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Cerrar con conclusiones técnicas, no solo con una captura de pantalla.</w:t>
      </w:r>
    </w:p>
    <w:p>
      <w:pPr>
        <w:pStyle w:val="Heading1"/>
      </w:pPr>
      <w:r>
        <w:t>7. Revisión final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Todas las pruebas pasan antes de entregar.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No existen pruebas deshabilitadas sin explicación.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Los nombres de los tests son legibles.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El equipo puede explicar por qué cada prueba es útil.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822" w:bottom="709" w:left="822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onsolas" w:hAnsi="Consolas"/>
        <w:sz w:val="16"/>
        <w:lang w:val="es-CL" w:eastAsia="es-CL" w:bidi="es-CL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onsolas" w:hAnsi="Consolas"/>
        <w:color w:val="17365D"/>
        <w:sz w:val="15"/>
        <w:lang w:val="es-CL" w:eastAsia="es-CL" w:bidi="es-CL"/>
      </w:rPr>
      <w:t>DSY1104 · Desarrollo Full Stack II · 2026-2 · Evaluación Parcial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nsolas" w:hAnsi="Consolas"/>
      <w:b/>
      <w:bCs/>
      <w:color w:val="C65911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nsolas" w:hAnsi="Consolas"/>
      <w:b/>
      <w:bCs/>
      <w:color w:val="54823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onsolas" w:hAnsi="Consolas"/>
      <w:b/>
      <w:color w:val="17365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