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lang w:val="es-CL" w:eastAsia="es-CL" w:bidi="es-CL"/>
        </w:rPr>
        <w:t>TUTORIAL 8 · COBERTURA DE CÓDIGO</w:t>
      </w:r>
    </w:p>
    <w:p>
      <w:pPr>
        <w:jc w:val="center"/>
      </w:pPr>
      <w:r>
        <w:rPr>
          <w:rFonts w:ascii="Consolas" w:hAnsi="Consolas"/>
          <w:b/>
          <w:color w:val="548235"/>
          <w:sz w:val="19"/>
          <w:lang w:val="es-CL" w:eastAsia="es-CL" w:bidi="es-CL"/>
        </w:rPr>
        <w:t>Vitest + proveedor V8</w:t>
      </w:r>
    </w:p>
    <w:p>
      <w:pPr>
        <w:pStyle w:val="Heading1"/>
      </w:pPr>
      <w:r>
        <w:t>1. ¿Qué mide la cobertura?</w:t>
      </w:r>
    </w:p>
    <w:tbl>
      <w:tblPr>
        <w:tblStyle w:val="TableGrid"/>
        <w:tblW w:type="auto" w:w="0"/>
        <w:jc w:val="center"/>
        <w:tblLook w:firstColumn="1" w:firstRow="1" w:lastColumn="0" w:lastRow="0" w:noHBand="0" w:noVBand="1" w:val="04A0"/>
      </w:tblPr>
      <w:tblGrid>
        <w:gridCol w:w="5241"/>
        <w:gridCol w:w="5241"/>
      </w:tblGrid>
      <w:tr>
        <w:tc>
          <w:tcPr>
            <w:tcW w:type="dxa" w:w="5241"/>
            <w:shd w:fill="17365D"/>
          </w:tcPr>
          <w:p>
            <w:r/>
            <w:r>
              <w:rPr>
                <w:rFonts w:ascii="Consolas" w:hAnsi="Consolas"/>
                <w:b/>
                <w:color w:val="FFFFFF"/>
                <w:sz w:val="16"/>
                <w:lang w:val="es-CL" w:eastAsia="es-CL" w:bidi="es-CL"/>
              </w:rPr>
              <w:t>Métrica</w:t>
            </w:r>
          </w:p>
        </w:tc>
        <w:tc>
          <w:tcPr>
            <w:tcW w:type="dxa" w:w="5241"/>
            <w:shd w:fill="17365D"/>
          </w:tcPr>
          <w:p>
            <w:r/>
            <w:r>
              <w:rPr>
                <w:rFonts w:ascii="Consolas" w:hAnsi="Consolas"/>
                <w:b/>
                <w:color w:val="FFFFFF"/>
                <w:sz w:val="16"/>
                <w:lang w:val="es-CL" w:eastAsia="es-CL" w:bidi="es-CL"/>
              </w:rPr>
              <w:t>Interpretación</w:t>
            </w:r>
          </w:p>
        </w:tc>
      </w:tr>
      <w:tr>
        <w:tc>
          <w:tcPr>
            <w:tcW w:type="dxa" w:w="5241"/>
            <w:vAlign w:val="center"/>
          </w:tcPr>
          <w:p>
            <w:r/>
            <w:r>
              <w:rPr>
                <w:rFonts w:ascii="Consolas" w:hAnsi="Consolas"/>
                <w:sz w:val="16"/>
                <w:lang w:val="es-CL" w:eastAsia="es-CL" w:bidi="es-CL"/>
              </w:rPr>
              <w:t>Statements</w:t>
            </w:r>
          </w:p>
        </w:tc>
        <w:tc>
          <w:tcPr>
            <w:tcW w:type="dxa" w:w="5241"/>
            <w:vAlign w:val="center"/>
          </w:tcPr>
          <w:p>
            <w:r/>
            <w:r>
              <w:rPr>
                <w:rFonts w:ascii="Consolas" w:hAnsi="Consolas"/>
                <w:sz w:val="16"/>
                <w:lang w:val="es-CL" w:eastAsia="es-CL" w:bidi="es-CL"/>
              </w:rPr>
              <w:t>Sentencias ejecutadas.</w:t>
            </w:r>
          </w:p>
        </w:tc>
      </w:tr>
      <w:tr>
        <w:tc>
          <w:tcPr>
            <w:tcW w:type="dxa" w:w="5241"/>
            <w:vAlign w:val="center"/>
          </w:tcPr>
          <w:p>
            <w:r/>
            <w:r>
              <w:rPr>
                <w:rFonts w:ascii="Consolas" w:hAnsi="Consolas"/>
                <w:sz w:val="16"/>
                <w:lang w:val="es-CL" w:eastAsia="es-CL" w:bidi="es-CL"/>
              </w:rPr>
              <w:t>Branches</w:t>
            </w:r>
          </w:p>
        </w:tc>
        <w:tc>
          <w:tcPr>
            <w:tcW w:type="dxa" w:w="5241"/>
            <w:vAlign w:val="center"/>
          </w:tcPr>
          <w:p>
            <w:r/>
            <w:r>
              <w:rPr>
                <w:rFonts w:ascii="Consolas" w:hAnsi="Consolas"/>
                <w:sz w:val="16"/>
                <w:lang w:val="es-CL" w:eastAsia="es-CL" w:bidi="es-CL"/>
              </w:rPr>
              <w:t>Ramas ejecutadas: if, ternarios y alternativas.</w:t>
            </w:r>
          </w:p>
        </w:tc>
      </w:tr>
      <w:tr>
        <w:tc>
          <w:tcPr>
            <w:tcW w:type="dxa" w:w="5241"/>
            <w:vAlign w:val="center"/>
          </w:tcPr>
          <w:p>
            <w:r/>
            <w:r>
              <w:rPr>
                <w:rFonts w:ascii="Consolas" w:hAnsi="Consolas"/>
                <w:sz w:val="16"/>
                <w:lang w:val="es-CL" w:eastAsia="es-CL" w:bidi="es-CL"/>
              </w:rPr>
              <w:t>Functions</w:t>
            </w:r>
          </w:p>
        </w:tc>
        <w:tc>
          <w:tcPr>
            <w:tcW w:type="dxa" w:w="5241"/>
            <w:vAlign w:val="center"/>
          </w:tcPr>
          <w:p>
            <w:r/>
            <w:r>
              <w:rPr>
                <w:rFonts w:ascii="Consolas" w:hAnsi="Consolas"/>
                <w:sz w:val="16"/>
                <w:lang w:val="es-CL" w:eastAsia="es-CL" w:bidi="es-CL"/>
              </w:rPr>
              <w:t>Funciones que fueron ejecutadas.</w:t>
            </w:r>
          </w:p>
        </w:tc>
      </w:tr>
      <w:tr>
        <w:tc>
          <w:tcPr>
            <w:tcW w:type="dxa" w:w="5241"/>
            <w:vAlign w:val="center"/>
          </w:tcPr>
          <w:p>
            <w:r/>
            <w:r>
              <w:rPr>
                <w:rFonts w:ascii="Consolas" w:hAnsi="Consolas"/>
                <w:sz w:val="16"/>
                <w:lang w:val="es-CL" w:eastAsia="es-CL" w:bidi="es-CL"/>
              </w:rPr>
              <w:t>Lines</w:t>
            </w:r>
          </w:p>
        </w:tc>
        <w:tc>
          <w:tcPr>
            <w:tcW w:type="dxa" w:w="5241"/>
            <w:vAlign w:val="center"/>
          </w:tcPr>
          <w:p>
            <w:r/>
            <w:r>
              <w:rPr>
                <w:rFonts w:ascii="Consolas" w:hAnsi="Consolas"/>
                <w:sz w:val="16"/>
                <w:lang w:val="es-CL" w:eastAsia="es-CL" w:bidi="es-CL"/>
              </w:rPr>
              <w:t>Líneas ejecutadas por las pruebas.</w:t>
            </w:r>
          </w:p>
        </w:tc>
      </w:tr>
    </w:tbl>
    <w:p>
      <w:pPr>
        <w:pStyle w:val="Heading1"/>
      </w:pPr>
      <w:r>
        <w:t>2. Ejecutar cobertura</w:t>
      </w:r>
    </w:p>
    <w:tbl>
      <w:tblPr>
        <w:tblW w:type="auto" w:w="0"/>
        <w:jc w:val="center"/>
        <w:tblLayout w:type="autofit"/>
        <w:tblLook w:firstColumn="1" w:firstRow="1" w:lastColumn="0" w:lastRow="0" w:noHBand="0" w:noVBand="1" w:val="04A0"/>
      </w:tblPr>
      <w:tblGrid>
        <w:gridCol w:w="10482"/>
      </w:tblGrid>
      <w:tr>
        <w:tc>
          <w:tcPr>
            <w:tcW w:type="dxa" w:w="10482"/>
            <w:shd w:fill="F2F2F2"/>
          </w:tcPr>
          <w:p>
            <w:pPr>
              <w:spacing w:after="0"/>
            </w:pPr>
            <w:r/>
            <w:r>
              <w:rPr>
                <w:rFonts w:ascii="Consolas" w:hAnsi="Consolas"/>
                <w:sz w:val="16"/>
                <w:lang w:val="es-CL" w:eastAsia="es-CL" w:bidi="es-CL"/>
              </w:rPr>
              <w:t>npm run test:coverage</w:t>
            </w:r>
          </w:p>
        </w:tc>
      </w:tr>
    </w:tbl>
    <w:p>
      <w:r>
        <w:rPr>
          <w:lang w:val="es-CL" w:eastAsia="es-CL" w:bidi="es-CL"/>
        </w:rPr>
        <w:t>El reporte HTML se genera normalmente dentro de coverage/. Abre coverage/index.html en el navegador.</w:t>
      </w:r>
    </w:p>
    <w:p>
      <w:pPr>
        <w:pStyle w:val="Heading1"/>
      </w:pPr>
      <w:r>
        <w:t>3. Cómo interpretar</w:t>
      </w:r>
    </w:p>
    <w:p>
      <w:r>
        <w:rPr>
          <w:lang w:val="es-CL" w:eastAsia="es-CL" w:bidi="es-CL"/>
        </w:rPr>
        <w:t>Un porcentaje alto indica que gran parte del código fue ejecutada durante las pruebas, pero no demuestra por sí mismo que las pruebas sean correctas ni que cubran escenarios importantes. La cobertura sirve para descubrir zonas olvidadas y orientar nuevas pruebas.</w:t>
      </w:r>
    </w:p>
    <w:p>
      <w:pPr>
        <w:pStyle w:val="Heading1"/>
      </w:pPr>
      <w:r>
        <w:t>4. Ejemplo de rama</w:t>
      </w:r>
    </w:p>
    <w:tbl>
      <w:tblPr>
        <w:tblW w:type="auto" w:w="0"/>
        <w:jc w:val="center"/>
        <w:tblLayout w:type="autofit"/>
        <w:tblLook w:firstColumn="1" w:firstRow="1" w:lastColumn="0" w:lastRow="0" w:noHBand="0" w:noVBand="1" w:val="04A0"/>
      </w:tblPr>
      <w:tblGrid>
        <w:gridCol w:w="10482"/>
      </w:tblGrid>
      <w:tr>
        <w:tc>
          <w:tcPr>
            <w:tcW w:type="dxa" w:w="10482"/>
            <w:shd w:fill="F2F2F2"/>
          </w:tcPr>
          <w:p>
            <w:pPr>
              <w:spacing w:after="0"/>
            </w:pPr>
            <w:r/>
            <w:r>
              <w:rPr>
                <w:rFonts w:ascii="Consolas" w:hAnsi="Consolas"/>
                <w:sz w:val="16"/>
                <w:lang w:val="es-CL" w:eastAsia="es-CL" w:bidi="es-CL"/>
              </w:rPr>
              <w:t>export function aplicarDescuento(total, esSocio) {</w:t>
            </w:r>
            <w:r>
              <w:br/>
            </w:r>
            <w:r>
              <w:rPr>
                <w:rFonts w:ascii="Consolas" w:hAnsi="Consolas"/>
                <w:sz w:val="16"/>
                <w:lang w:val="es-CL" w:eastAsia="es-CL" w:bidi="es-CL"/>
              </w:rPr>
              <w:t xml:space="preserve">  if (esSocio) {</w:t>
            </w:r>
            <w:r>
              <w:br/>
            </w:r>
            <w:r>
              <w:rPr>
                <w:rFonts w:ascii="Consolas" w:hAnsi="Consolas"/>
                <w:sz w:val="16"/>
                <w:lang w:val="es-CL" w:eastAsia="es-CL" w:bidi="es-CL"/>
              </w:rPr>
              <w:t xml:space="preserve">    return total * 0.9;</w:t>
            </w:r>
            <w:r>
              <w:br/>
            </w:r>
            <w:r>
              <w:rPr>
                <w:rFonts w:ascii="Consolas" w:hAnsi="Consolas"/>
                <w:sz w:val="16"/>
                <w:lang w:val="es-CL" w:eastAsia="es-CL" w:bidi="es-CL"/>
              </w:rPr>
              <w:t xml:space="preserve">  }</w:t>
            </w:r>
            <w:r>
              <w:br/>
            </w:r>
            <w:r>
              <w:rPr>
                <w:rFonts w:ascii="Consolas" w:hAnsi="Consolas"/>
                <w:sz w:val="16"/>
                <w:lang w:val="es-CL" w:eastAsia="es-CL" w:bidi="es-CL"/>
              </w:rPr>
              <w:t xml:space="preserve">  return total;</w:t>
            </w:r>
            <w:r>
              <w:br/>
            </w:r>
            <w:r>
              <w:rPr>
                <w:rFonts w:ascii="Consolas" w:hAnsi="Consolas"/>
                <w:sz w:val="16"/>
                <w:lang w:val="es-CL" w:eastAsia="es-CL" w:bidi="es-CL"/>
              </w:rPr>
              <w:t>}</w:t>
            </w:r>
          </w:p>
        </w:tc>
      </w:tr>
    </w:tbl>
    <w:p>
      <w:r>
        <w:rPr>
          <w:lang w:val="es-CL" w:eastAsia="es-CL" w:bidi="es-CL"/>
        </w:rPr>
        <w:t>Si solo probamos esSocio=true, todavía queda una rama sin verificar. Una segunda prueba con esSocio=false protege el comportamiento alternativo.</w:t>
      </w:r>
    </w:p>
    <w:p>
      <w:pPr>
        <w:pStyle w:val="Heading1"/>
      </w:pPr>
      <w:r>
        <w:t>5. Ciclo recomendado</w:t>
      </w:r>
    </w:p>
    <w:tbl>
      <w:tblPr>
        <w:tblStyle w:val="TableGrid"/>
        <w:tblW w:type="auto" w:w="0"/>
        <w:jc w:val="center"/>
        <w:tblLook w:firstColumn="1" w:firstRow="1" w:lastColumn="0" w:lastRow="0" w:noHBand="0" w:noVBand="1" w:val="04A0"/>
      </w:tblPr>
      <w:tblGrid>
        <w:gridCol w:w="5241"/>
        <w:gridCol w:w="5241"/>
      </w:tblGrid>
      <w:tr>
        <w:tc>
          <w:tcPr>
            <w:tcW w:type="dxa" w:w="5241"/>
            <w:shd w:fill="17365D"/>
          </w:tcPr>
          <w:p>
            <w:r/>
            <w:r>
              <w:rPr>
                <w:rFonts w:ascii="Consolas" w:hAnsi="Consolas"/>
                <w:b/>
                <w:color w:val="FFFFFF"/>
                <w:sz w:val="16"/>
                <w:lang w:val="es-CL" w:eastAsia="es-CL" w:bidi="es-CL"/>
              </w:rPr>
              <w:t>Paso</w:t>
            </w:r>
          </w:p>
        </w:tc>
        <w:tc>
          <w:tcPr>
            <w:tcW w:type="dxa" w:w="5241"/>
            <w:shd w:fill="17365D"/>
          </w:tcPr>
          <w:p>
            <w:r/>
            <w:r>
              <w:rPr>
                <w:rFonts w:ascii="Consolas" w:hAnsi="Consolas"/>
                <w:b/>
                <w:color w:val="FFFFFF"/>
                <w:sz w:val="16"/>
                <w:lang w:val="es-CL" w:eastAsia="es-CL" w:bidi="es-CL"/>
              </w:rPr>
              <w:t>Acción</w:t>
            </w:r>
          </w:p>
        </w:tc>
      </w:tr>
      <w:tr>
        <w:tc>
          <w:tcPr>
            <w:tcW w:type="dxa" w:w="5241"/>
            <w:vAlign w:val="center"/>
          </w:tcPr>
          <w:p>
            <w:r/>
            <w:r>
              <w:rPr>
                <w:rFonts w:ascii="Consolas" w:hAnsi="Consolas"/>
                <w:sz w:val="16"/>
                <w:lang w:val="es-CL" w:eastAsia="es-CL" w:bidi="es-CL"/>
              </w:rPr>
              <w:t>1</w:t>
            </w:r>
          </w:p>
        </w:tc>
        <w:tc>
          <w:tcPr>
            <w:tcW w:type="dxa" w:w="5241"/>
            <w:vAlign w:val="center"/>
          </w:tcPr>
          <w:p>
            <w:r/>
            <w:r>
              <w:rPr>
                <w:rFonts w:ascii="Consolas" w:hAnsi="Consolas"/>
                <w:sz w:val="16"/>
                <w:lang w:val="es-CL" w:eastAsia="es-CL" w:bidi="es-CL"/>
              </w:rPr>
              <w:t>Ejecutar tests.</w:t>
            </w:r>
          </w:p>
        </w:tc>
      </w:tr>
      <w:tr>
        <w:tc>
          <w:tcPr>
            <w:tcW w:type="dxa" w:w="5241"/>
            <w:vAlign w:val="center"/>
          </w:tcPr>
          <w:p>
            <w:r/>
            <w:r>
              <w:rPr>
                <w:rFonts w:ascii="Consolas" w:hAnsi="Consolas"/>
                <w:sz w:val="16"/>
                <w:lang w:val="es-CL" w:eastAsia="es-CL" w:bidi="es-CL"/>
              </w:rPr>
              <w:t>2</w:t>
            </w:r>
          </w:p>
        </w:tc>
        <w:tc>
          <w:tcPr>
            <w:tcW w:type="dxa" w:w="5241"/>
            <w:vAlign w:val="center"/>
          </w:tcPr>
          <w:p>
            <w:r/>
            <w:r>
              <w:rPr>
                <w:rFonts w:ascii="Consolas" w:hAnsi="Consolas"/>
                <w:sz w:val="16"/>
                <w:lang w:val="es-CL" w:eastAsia="es-CL" w:bidi="es-CL"/>
              </w:rPr>
              <w:t>Leer cobertura.</w:t>
            </w:r>
          </w:p>
        </w:tc>
      </w:tr>
      <w:tr>
        <w:tc>
          <w:tcPr>
            <w:tcW w:type="dxa" w:w="5241"/>
            <w:vAlign w:val="center"/>
          </w:tcPr>
          <w:p>
            <w:r/>
            <w:r>
              <w:rPr>
                <w:rFonts w:ascii="Consolas" w:hAnsi="Consolas"/>
                <w:sz w:val="16"/>
                <w:lang w:val="es-CL" w:eastAsia="es-CL" w:bidi="es-CL"/>
              </w:rPr>
              <w:t>3</w:t>
            </w:r>
          </w:p>
        </w:tc>
        <w:tc>
          <w:tcPr>
            <w:tcW w:type="dxa" w:w="5241"/>
            <w:vAlign w:val="center"/>
          </w:tcPr>
          <w:p>
            <w:r/>
            <w:r>
              <w:rPr>
                <w:rFonts w:ascii="Consolas" w:hAnsi="Consolas"/>
                <w:sz w:val="16"/>
                <w:lang w:val="es-CL" w:eastAsia="es-CL" w:bidi="es-CL"/>
              </w:rPr>
              <w:t>Ubicar código importante no cubierto.</w:t>
            </w:r>
          </w:p>
        </w:tc>
      </w:tr>
      <w:tr>
        <w:tc>
          <w:tcPr>
            <w:tcW w:type="dxa" w:w="5241"/>
            <w:vAlign w:val="center"/>
          </w:tcPr>
          <w:p>
            <w:r/>
            <w:r>
              <w:rPr>
                <w:rFonts w:ascii="Consolas" w:hAnsi="Consolas"/>
                <w:sz w:val="16"/>
                <w:lang w:val="es-CL" w:eastAsia="es-CL" w:bidi="es-CL"/>
              </w:rPr>
              <w:t>4</w:t>
            </w:r>
          </w:p>
        </w:tc>
        <w:tc>
          <w:tcPr>
            <w:tcW w:type="dxa" w:w="5241"/>
            <w:vAlign w:val="center"/>
          </w:tcPr>
          <w:p>
            <w:r/>
            <w:r>
              <w:rPr>
                <w:rFonts w:ascii="Consolas" w:hAnsi="Consolas"/>
                <w:sz w:val="16"/>
                <w:lang w:val="es-CL" w:eastAsia="es-CL" w:bidi="es-CL"/>
              </w:rPr>
              <w:t>Diseñar un caso útil.</w:t>
            </w:r>
          </w:p>
        </w:tc>
      </w:tr>
      <w:tr>
        <w:tc>
          <w:tcPr>
            <w:tcW w:type="dxa" w:w="5241"/>
            <w:vAlign w:val="center"/>
          </w:tcPr>
          <w:p>
            <w:r/>
            <w:r>
              <w:rPr>
                <w:rFonts w:ascii="Consolas" w:hAnsi="Consolas"/>
                <w:sz w:val="16"/>
                <w:lang w:val="es-CL" w:eastAsia="es-CL" w:bidi="es-CL"/>
              </w:rPr>
              <w:t>5</w:t>
            </w:r>
          </w:p>
        </w:tc>
        <w:tc>
          <w:tcPr>
            <w:tcW w:type="dxa" w:w="5241"/>
            <w:vAlign w:val="center"/>
          </w:tcPr>
          <w:p>
            <w:r/>
            <w:r>
              <w:rPr>
                <w:rFonts w:ascii="Consolas" w:hAnsi="Consolas"/>
                <w:sz w:val="16"/>
                <w:lang w:val="es-CL" w:eastAsia="es-CL" w:bidi="es-CL"/>
              </w:rPr>
              <w:t>Ejecutar nuevamente.</w:t>
            </w:r>
          </w:p>
        </w:tc>
      </w:tr>
      <w:tr>
        <w:tc>
          <w:tcPr>
            <w:tcW w:type="dxa" w:w="5241"/>
            <w:vAlign w:val="center"/>
          </w:tcPr>
          <w:p>
            <w:r/>
            <w:r>
              <w:rPr>
                <w:rFonts w:ascii="Consolas" w:hAnsi="Consolas"/>
                <w:sz w:val="16"/>
                <w:lang w:val="es-CL" w:eastAsia="es-CL" w:bidi="es-CL"/>
              </w:rPr>
              <w:t>6</w:t>
            </w:r>
          </w:p>
        </w:tc>
        <w:tc>
          <w:tcPr>
            <w:tcW w:type="dxa" w:w="5241"/>
            <w:vAlign w:val="center"/>
          </w:tcPr>
          <w:p>
            <w:r/>
            <w:r>
              <w:rPr>
                <w:rFonts w:ascii="Consolas" w:hAnsi="Consolas"/>
                <w:sz w:val="16"/>
                <w:lang w:val="es-CL" w:eastAsia="es-CL" w:bidi="es-CL"/>
              </w:rPr>
              <w:t>Revisar si la prueba protege comportamiento.</w:t>
            </w:r>
          </w:p>
        </w:tc>
      </w:tr>
    </w:tbl>
    <w:p>
      <w:pPr>
        <w:pStyle w:val="Heading1"/>
      </w:pPr>
      <w:r>
        <w:t>6. Evidencia para P2</w:t>
      </w:r>
    </w:p>
    <w:p>
      <w:pPr>
        <w:ind w:left="255"/>
      </w:pPr>
      <w:r>
        <w:rPr>
          <w:lang w:val="es-CL" w:eastAsia="es-CL" w:bidi="es-CL"/>
        </w:rPr>
        <w:t>• Resumen de cobertura generado por Vitest.</w:t>
      </w:r>
    </w:p>
    <w:p>
      <w:pPr>
        <w:ind w:left="255"/>
      </w:pPr>
      <w:r>
        <w:rPr>
          <w:lang w:val="es-CL" w:eastAsia="es-CL" w:bidi="es-CL"/>
        </w:rPr>
        <w:t>• Informe HTML cuando corresponda.</w:t>
      </w:r>
    </w:p>
    <w:p>
      <w:pPr>
        <w:ind w:left="255"/>
      </w:pPr>
      <w:r>
        <w:rPr>
          <w:lang w:val="es-CL" w:eastAsia="es-CL" w:bidi="es-CL"/>
        </w:rPr>
        <w:t>• Capacidad de explicar qué zonas tienen menor cobertura y por qué.</w:t>
      </w:r>
    </w:p>
    <w:p>
      <w:pPr>
        <w:ind w:left="255"/>
      </w:pPr>
      <w:r>
        <w:rPr>
          <w:lang w:val="es-CL" w:eastAsia="es-CL" w:bidi="es-CL"/>
        </w:rPr>
        <w:t>• No fijar una meta numérica arbitraria si la evaluación no la define.</w:t>
      </w:r>
    </w:p>
    <w:tbl>
      <w:tblPr>
        <w:tblStyle w:val="TableGrid"/>
        <w:tblW w:type="auto" w:w="0"/>
        <w:tblLook w:firstColumn="1" w:firstRow="1" w:lastColumn="0" w:lastRow="0" w:noHBand="0" w:noVBand="1" w:val="04A0"/>
      </w:tblPr>
      <w:tblGrid>
        <w:gridCol w:w="10482"/>
      </w:tblGrid>
      <w:tr>
        <w:tc>
          <w:tcPr>
            <w:tcW w:type="dxa" w:w="10482"/>
            <w:shd w:fill="EAF2E4"/>
          </w:tcPr>
          <w:p>
            <w:r/>
            <w:r>
              <w:rPr>
                <w:rFonts w:ascii="Consolas" w:hAnsi="Consolas"/>
                <w:b/>
                <w:color w:val="548235"/>
                <w:sz w:val="17"/>
                <w:lang w:val="es-CL" w:eastAsia="es-CL" w:bidi="es-CL"/>
              </w:rPr>
              <w:t>COBERTURA ≠ CALIDAD. El objetivo es cubrir comportamientos importantes, no perseguir 100% sin criterio.</w:t>
            </w:r>
          </w:p>
        </w:tc>
      </w:tr>
    </w:tbl>
    <w:sectPr w:rsidR="00FC693F" w:rsidRPr="0006063C" w:rsidSect="00034616">
      <w:pgSz w:w="12240" w:h="15840"/>
      <w:pgMar w:top="709" w:right="879" w:bottom="709"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nsolas" w:hAnsi="Consolas"/>
      <w:b/>
      <w:bCs/>
      <w:color w:val="C6591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nsolas" w:hAnsi="Consolas"/>
      <w:b/>
      <w:bCs/>
      <w:color w:val="54823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onsolas" w:hAnsi="Consola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nsolas" w:hAnsi="Consolas"/>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