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Bracken fixture report B states that the same sensor offset is 0.34 mm. There is no instruction that this report replaces report A. The disagreement must not be resolved from filenames.</w:t>
      </w:r>
    </w:p>
  </w:body>
</w:document>
</file>