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quartz basis. </w:t>
      </w:r>
    </w:p>
    <w:p>
      <w:r>
        <w:t xml:space="preserve">Quartz uses basis vectors (1,1) and (1,-1). Coordinates in the standard basis must not be confused with basis coefficients.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