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234" w:rsidRPr="00AF2234" w:rsidRDefault="00AF2234" w:rsidP="00AF2234">
      <w:pPr>
        <w:ind w:firstLineChars="200" w:firstLine="480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AF2234"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  <w:t>该开题报告结构完整、逻辑清晰，研究内容紧密结合学术前沿与实际项目需求，兼具理论价值与实际意义，整体严格符合学位论文开题的规范性要求，同意开题。</w:t>
      </w:r>
    </w:p>
    <w:p w:rsidR="00AF2234" w:rsidRPr="00AF2234" w:rsidRDefault="00AF2234" w:rsidP="00AF2234">
      <w:pPr>
        <w:ind w:firstLineChars="200" w:firstLine="480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AF2234"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  <w:t>一、该开题报告严格遵循学术规范，框架完整且层次分明，系统涵盖研究背景、文献综述、研究方法、实验进展及时间规划等核心模块，</w:t>
      </w:r>
      <w:proofErr w:type="gramStart"/>
      <w:r w:rsidRPr="00AF2234"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  <w:t>无关键</w:t>
      </w:r>
      <w:proofErr w:type="gramEnd"/>
      <w:r w:rsidRPr="00AF2234"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  <w:t>内容缺失。文献综述详实全面、梳理到位，不仅清晰厘清了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文本检测领域中基于指标的统计分析、微调神经网络模型两大核心方法的技术脉络，以及各类数据集的演进历程，还结合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HC-</w:t>
      </w:r>
      <w:proofErr w:type="spellStart"/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Var</w:t>
      </w:r>
      <w:proofErr w:type="spellEnd"/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理论等关键研究，精准剖析了现有方法在泛化能力、语义捕捉、生成过程增强等方面的核心不足，为研究问题的提出与研究方案的设计奠定了扎实的理论与文献基础。报告对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对抗微调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”“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单文本拟人化对齐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等核心概念界定清</w:t>
      </w:r>
      <w:r w:rsidRPr="00AF2234"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  <w:t>晰，技术路线阐述具体，时间规划贴合研究实际进度，充分体现了作者严谨的学术态度与扎实的专业基础。</w:t>
      </w:r>
    </w:p>
    <w:p w:rsidR="00AF2234" w:rsidRPr="00AF2234" w:rsidRDefault="00AF2234" w:rsidP="00AF2234">
      <w:pPr>
        <w:ind w:firstLineChars="200" w:firstLine="480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AF2234"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  <w:t>二、选题具有鲜明的创新性与前沿性，精准切入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文本检测领域的核心薄弱环节，研究价值突出。区别于当前研究多聚焦数据</w:t>
      </w:r>
      <w:proofErr w:type="gramStart"/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集整体</w:t>
      </w:r>
      <w:proofErr w:type="gramEnd"/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分布多样性增强的现状，本研究创新性地以单文本拟人化对齐增强为核心研究方向，提出从文本生成过程层面提升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文本的类人属性，有效填补了领域内对单文本生成精细</w:t>
      </w:r>
      <w:proofErr w:type="gramStart"/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化增强</w:t>
      </w:r>
      <w:proofErr w:type="gramEnd"/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研究的空白。研究方法融合创新，将对抗微调与角色扮演、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BPO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、反思精炼等多种对齐方法有机结合，构建了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MAGA Pipeline 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技术框架，并通过攻防双边验证策略论证文本拟人化效果，不仅为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AI 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文本检测攻防研究提供了全新的研究视</w:t>
      </w:r>
      <w:r w:rsidRPr="00AF2234"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  <w:t>角与技术路径，还能直接服务于儿科医院拟人化问诊项目，实现学术研究与实际应用的深度衔接。</w:t>
      </w:r>
    </w:p>
    <w:p w:rsidR="00DF6E9D" w:rsidRPr="00F55E1D" w:rsidRDefault="00AF2234" w:rsidP="00AF2234">
      <w:pPr>
        <w:ind w:firstLineChars="200" w:firstLine="480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AF2234"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  <w:t>三、研究方案设计科学合理，技术路线清晰，可行性与落地性极强。理论层面，研究依托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HC-</w:t>
      </w:r>
      <w:proofErr w:type="spellStart"/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Var</w:t>
      </w:r>
      <w:proofErr w:type="spellEnd"/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理论、对抗学习等成熟的学术基础，明确提出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对抗微调解耦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+ 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多对齐方法融合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” </w:t>
      </w:r>
      <w:r w:rsidRPr="00AF2234">
        <w:rPr>
          <w:rFonts w:ascii="Segoe UI" w:eastAsia="宋体" w:hAnsi="Segoe UI" w:cs="Segoe UI"/>
          <w:color w:val="000000"/>
          <w:kern w:val="0"/>
          <w:sz w:val="24"/>
          <w:szCs w:val="24"/>
        </w:rPr>
        <w:t>的核心思路，针对性解决了直接对抗微调存在的过拟合、收敛不稳定等技术痛点，理论支撑扎实。实践层面，作者已完成核心实验框架搭建，初步实验结果与消融实验均验证了方法的有效性；同时依托儿科医院实际项目，确保研究成果能够落地应用，避免了纯理论研究的局限性。时间规划紧凑且贴合实际，研究步骤拆解细致，结合作者已完成的小论文扩充、实验补充等进展，以及现</w:t>
      </w:r>
      <w:r w:rsidRPr="00AF2234"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  <w:t>有的软硬件条件，具备高效完成研究任务的能力与保障。</w:t>
      </w:r>
      <w:bookmarkStart w:id="0" w:name="_GoBack"/>
      <w:bookmarkEnd w:id="0"/>
    </w:p>
    <w:sectPr w:rsidR="00DF6E9D" w:rsidRPr="00F55E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2D0"/>
    <w:rsid w:val="001722D0"/>
    <w:rsid w:val="001C4CA1"/>
    <w:rsid w:val="00666BC9"/>
    <w:rsid w:val="007E4887"/>
    <w:rsid w:val="00AF2234"/>
    <w:rsid w:val="00B754B4"/>
    <w:rsid w:val="00DF6E9D"/>
    <w:rsid w:val="00E5114C"/>
    <w:rsid w:val="00F5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E75FF0-1608-4CF4-B7FF-0DD547D1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F55E1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55E1D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63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8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25283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77393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8897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862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48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2403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56745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39267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816</Characters>
  <Application>Microsoft Office Word</Application>
  <DocSecurity>0</DocSecurity>
  <Lines>6</Lines>
  <Paragraphs>1</Paragraphs>
  <ScaleCrop>false</ScaleCrop>
  <Company>DoubleOX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</dc:creator>
  <cp:keywords/>
  <dc:description/>
  <cp:lastModifiedBy>SAY</cp:lastModifiedBy>
  <cp:revision>8</cp:revision>
  <dcterms:created xsi:type="dcterms:W3CDTF">2025-11-05T12:31:00Z</dcterms:created>
  <dcterms:modified xsi:type="dcterms:W3CDTF">2025-12-01T10:33:00Z</dcterms:modified>
</cp:coreProperties>
</file>