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0C1D8">
      <w:pPr>
        <w:spacing w:line="360" w:lineRule="auto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sz w:val="48"/>
          <w:szCs w:val="48"/>
        </w:rPr>
        <w:t>大湾区青年跨境金融沉浸式演练沙盒</w:t>
      </w:r>
      <w:r>
        <w:rPr>
          <w:rFonts w:hint="eastAsia" w:ascii="宋体" w:hAnsi="宋体" w:eastAsia="宋体" w:cs="宋体"/>
          <w:sz w:val="48"/>
          <w:szCs w:val="48"/>
          <w:lang w:eastAsia="zh-CN"/>
        </w:rPr>
        <w:t>：</w:t>
      </w:r>
      <w:r>
        <w:rPr>
          <w:rFonts w:hint="eastAsia" w:ascii="宋体" w:hAnsi="宋体" w:eastAsia="宋体" w:cs="宋体"/>
          <w:sz w:val="48"/>
          <w:szCs w:val="48"/>
        </w:rPr>
        <w:t>参赛作品文件说明与评委测试指南</w:t>
      </w:r>
    </w:p>
    <w:p w14:paraId="4285DB35">
      <w:pPr>
        <w:spacing w:line="360" w:lineRule="auto"/>
        <w:rPr>
          <w:rFonts w:hint="eastAsia" w:ascii="宋体" w:hAnsi="宋体" w:eastAsia="宋体" w:cs="宋体"/>
          <w:sz w:val="48"/>
          <w:szCs w:val="48"/>
        </w:rPr>
      </w:pPr>
    </w:p>
    <w:p w14:paraId="5897A82E">
      <w:pPr>
        <w:spacing w:line="360" w:lineRule="auto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第一部分：项目文件清单与业务作用详解</w:t>
      </w:r>
    </w:p>
    <w:p w14:paraId="384C810B">
      <w:pPr>
        <w:spacing w:line="360" w:lineRule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本系统旨在解决大湾区青年在跨境投资中“不敢投、不了解、防诈意识薄弱”的问题，通过零资金风险的拟真沙盒演练，静默分析用户的决策习惯（KYCC），并精准推荐符合工行合规要求的跨境金融产品。</w:t>
      </w:r>
    </w:p>
    <w:p w14:paraId="5E319DB4">
      <w:pPr>
        <w:spacing w:line="360" w:lineRule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以下为打包文件中所有 11 个核心文件的分工说明：</w:t>
      </w:r>
    </w:p>
    <w:p w14:paraId="4A3DB41A">
      <w:pPr>
        <w:spacing w:line="360" w:lineRule="auto"/>
        <w:rPr>
          <w:rFonts w:hint="eastAsia" w:ascii="宋体" w:hAnsi="宋体" w:eastAsia="宋体" w:cs="宋体"/>
          <w:sz w:val="32"/>
          <w:szCs w:val="32"/>
        </w:rPr>
      </w:pPr>
    </w:p>
    <w:p w14:paraId="0BCD11B5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b/>
          <w:bCs/>
          <w:sz w:val="34"/>
          <w:szCs w:val="34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设计原型与视觉蓝图</w:t>
      </w:r>
    </w:p>
    <w:p w14:paraId="4CDB0389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 `Figma.fig`（UI/UX 设计源文件与交互原型）</w:t>
      </w:r>
    </w:p>
    <w:p w14:paraId="39FE9DC6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形象比喻：项目的“建筑设计效果图与施工图纸”。</w:t>
      </w:r>
    </w:p>
    <w:p w14:paraId="70051E4F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具体作用：</w:t>
      </w:r>
    </w:p>
    <w:p w14:paraId="46BD7068">
      <w:pPr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存放了系统全部 8 个画面的高保真矢量设计稿。</w:t>
      </w:r>
    </w:p>
    <w:p w14:paraId="34A5CE11">
      <w:pPr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制定了标准视觉规范（包含中国工商银行品牌红 `#C9151E`、暗黑科技风色盘 `#0B0E14`、移动端字体与图标排版）。</w:t>
      </w:r>
    </w:p>
    <w:p w14:paraId="0A8C84A1">
      <w:pPr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绘制了动态交互逻辑图（如防诈卡片上滑消除、KYCC 风险仪表盘的 35% 警示区标注）。</w:t>
      </w:r>
    </w:p>
    <w:p w14:paraId="6D6141A9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28"/>
          <w:szCs w:val="28"/>
        </w:rPr>
        <w:t>实际效果：为前端代码开发提供了 1:1 的视觉参照，确保网页做出来和设计图完全一致，符合工行手机银行的界面品质。</w:t>
      </w:r>
    </w:p>
    <w:p w14:paraId="1FE469F7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34"/>
          <w:szCs w:val="34"/>
        </w:rPr>
      </w:pPr>
    </w:p>
    <w:p w14:paraId="3807B7DE">
      <w:pPr>
        <w:spacing w:line="360" w:lineRule="auto"/>
        <w:rPr>
          <w:rFonts w:hint="eastAsia" w:ascii="宋体" w:hAnsi="宋体" w:eastAsia="宋体" w:cs="宋体"/>
          <w:b/>
          <w:bCs/>
          <w:sz w:val="34"/>
          <w:szCs w:val="34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二、 用户界面与交互响应（前端展示部分）</w:t>
      </w:r>
    </w:p>
    <w:p w14:paraId="10F6C897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 `index.html`（高保真单页应用界面）</w:t>
      </w:r>
    </w:p>
    <w:p w14:paraId="36EE955B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形象比喻：展厅的“展柜结构与房间隔断”。</w:t>
      </w:r>
    </w:p>
    <w:p w14:paraId="36B817A7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具体作用：</w:t>
      </w:r>
    </w:p>
    <w:p w14:paraId="574F4484">
      <w:pPr>
        <w:numPr>
          <w:ilvl w:val="0"/>
          <w:numId w:val="5"/>
        </w:num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还原了工行手机银行 App 的首页样式（含天天盈、收支、扫一扫及“升金有礼”横幅）。</w:t>
      </w:r>
    </w:p>
    <w:p w14:paraId="68C84DDD">
      <w:pPr>
        <w:numPr>
          <w:ilvl w:val="0"/>
          <w:numId w:val="5"/>
        </w:num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将“首页、资产试算、防诈反思、KYCC 诊断、产品匹配、授权弹窗、购买结算、持仓查看”8 个演练环节全部放在同一个网页文件中。</w:t>
      </w:r>
    </w:p>
    <w:p w14:paraId="53AD2282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实际效果：用户在体验过程中页面无需反复刷新加载，像在使用原生手机 App 一样流畅。</w:t>
      </w:r>
    </w:p>
    <w:p w14:paraId="0963A752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8"/>
          <w:szCs w:val="28"/>
        </w:rPr>
      </w:pPr>
    </w:p>
    <w:p w14:paraId="60EDFB44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 `styles.css`（视觉主题与动画样式）</w:t>
      </w:r>
    </w:p>
    <w:p w14:paraId="3F43A4C3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形象比喻：展厅的“硬装装修、灯光与配色”。</w:t>
      </w:r>
    </w:p>
    <w:p w14:paraId="4181ECF3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具体作用：</w:t>
      </w:r>
    </w:p>
    <w:p w14:paraId="0CBD744F">
      <w:pPr>
        <w:numPr>
          <w:ilvl w:val="0"/>
          <w:numId w:val="7"/>
        </w:numPr>
        <w:spacing w:line="360" w:lineRule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控制全站的色彩和排版。在普通业务环节展示清爽的工行红白配色，当进入算法诊断环节时，自动切换为科技感十足的黑色背景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</w:p>
    <w:p w14:paraId="56171CB6">
      <w:pPr>
        <w:numPr>
          <w:ilvl w:val="0"/>
          <w:numId w:val="7"/>
        </w:num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精准绘制 KYCC 风险仪表盘（包含了 100% 蓝色对冲轨道、35% 红色风险警示区，以及居中停靠的指针）。</w:t>
      </w:r>
    </w:p>
    <w:p w14:paraId="6AA5002C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实际效果：提供卡片下滑、按钮点击震动反馈、抖动报错等动态视觉效果，增强沉浸感。</w:t>
      </w:r>
    </w:p>
    <w:p w14:paraId="7EEA1FEC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8"/>
          <w:szCs w:val="28"/>
        </w:rPr>
      </w:pPr>
    </w:p>
    <w:p w14:paraId="6F4F820A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4. `script.js`（前台交互与手势响应）</w:t>
      </w:r>
    </w:p>
    <w:p w14:paraId="2EAB93BD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形象比喻：展厅的“前台接待人员”。</w:t>
      </w:r>
    </w:p>
    <w:p w14:paraId="0167291D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具体作用：</w:t>
      </w:r>
    </w:p>
    <w:p w14:paraId="034AA508">
      <w:pPr>
        <w:numPr>
          <w:ilvl w:val="0"/>
          <w:numId w:val="9"/>
        </w:num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负责处理用户的每一个手势和点击动作（如防诈警告卡片的上滑消除、虚拟软键盘打字、投资选项勾选）。</w:t>
      </w:r>
    </w:p>
    <w:p w14:paraId="2A0AF374">
      <w:pPr>
        <w:numPr>
          <w:ilvl w:val="0"/>
          <w:numId w:val="9"/>
        </w:num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计算用户在每个页面的思考停留时间（比如在试算页面犹豫了多少秒），并通过后台接口传给后端。</w:t>
      </w:r>
    </w:p>
    <w:p w14:paraId="3CFDD50A"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实际效果：保障前端交互的顺畅，同时实现未填写内容时的红框报错拦截，防止无效操作。</w:t>
      </w:r>
    </w:p>
    <w:p w14:paraId="7C70B820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</w:p>
    <w:p w14:paraId="72AC19C1">
      <w:pPr>
        <w:spacing w:line="360" w:lineRule="auto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三、 智能计算与后台数据处理（后端逻辑部分）</w:t>
      </w:r>
    </w:p>
    <w:p w14:paraId="45471BF9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5. `server.py`（后台分析中心与业务引擎）</w:t>
      </w:r>
    </w:p>
    <w:p w14:paraId="70157A75"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形象比喻：整个系统的“后台大脑”。</w:t>
      </w:r>
    </w:p>
    <w:p w14:paraId="6AE8689A"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具体作用：</w:t>
      </w:r>
    </w:p>
    <w:p w14:paraId="272FAE45">
      <w:pPr>
        <w:numPr>
          <w:ilvl w:val="0"/>
          <w:numId w:val="11"/>
        </w:numPr>
        <w:spacing w:line="360" w:lineRule="auto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接收前台传来的操作动作和思考时长数据。</w:t>
      </w:r>
    </w:p>
    <w:p w14:paraId="2278C0B0">
      <w:pPr>
        <w:numPr>
          <w:ilvl w:val="0"/>
          <w:numId w:val="11"/>
        </w:numPr>
        <w:spacing w:line="360" w:lineRule="auto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运行 KYCC 行为诊断逻辑，自动算出用户的“贪婪与恐惧指数”，并触发“顿悟时刻”诊断报告。</w:t>
      </w:r>
    </w:p>
    <w:p w14:paraId="6B28CC39">
      <w:pPr>
        <w:numPr>
          <w:ilvl w:val="0"/>
          <w:numId w:val="11"/>
        </w:numPr>
        <w:spacing w:line="360" w:lineRule="auto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匹配最适合该用户的工行理财产品，并在交易完成后给用户发放防诈积分和勋章。</w:t>
      </w:r>
    </w:p>
    <w:p w14:paraId="42699BE8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实际效果：在后台完成所有复杂的算法计算与数据处理，把最终的诊断结论呈现给前端。</w:t>
      </w:r>
    </w:p>
    <w:p w14:paraId="013FE4FB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</w:p>
    <w:p w14:paraId="024BB564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6. `data/events.json`（操作日志实时记录本）</w:t>
      </w:r>
    </w:p>
    <w:p w14:paraId="173ADA11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形象比喻：现场的“用户操作登记册”。</w:t>
      </w:r>
    </w:p>
    <w:p w14:paraId="7A237244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具体作用：</w:t>
      </w:r>
    </w:p>
    <w:p w14:paraId="6F52DDE5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每当用户在网页上进行点击、滑卡或输入内容，系统会自动将带有时分秒的时间戳和具体动作记录在这个文件中。</w:t>
      </w:r>
    </w:p>
    <w:p w14:paraId="4E6A5433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实际效果：保存完整的行为日志，证明 KYCC 诊断依赖于真实采集到的操作数据，而非写死固定结果。</w:t>
      </w:r>
    </w:p>
    <w:p w14:paraId="7144FD5C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</w:p>
    <w:p w14:paraId="0DFD8F1C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7. `mock/mock_data.json`（离线产品与基准数据库）</w:t>
      </w:r>
    </w:p>
    <w:p w14:paraId="4AEE4D61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形象比喻：展厅备用的“产品资料库”。</w:t>
      </w:r>
    </w:p>
    <w:p w14:paraId="0D4C2268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具体作用：</w:t>
      </w:r>
    </w:p>
    <w:p w14:paraId="579E7CD8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预先存放了工行真实理财产品（如“工银亚洲·粤港澳跨境双币理财”）的收益率、风险等级以及基础用户画像数据。</w:t>
      </w:r>
    </w:p>
    <w:p w14:paraId="60597ACB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实际效果：保障系统在断网或离线展示环境下，依然能够稳定读取产品数据并正常演示。</w:t>
      </w:r>
    </w:p>
    <w:p w14:paraId="786A72A7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34"/>
          <w:szCs w:val="34"/>
        </w:rPr>
      </w:pPr>
    </w:p>
    <w:p w14:paraId="4391A74F">
      <w:pPr>
        <w:spacing w:line="360" w:lineRule="auto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四、 运行环境与配置管理（保障系统稳定运行）</w:t>
      </w:r>
    </w:p>
    <w:p w14:paraId="19BACF0C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8. `requirements.txt`（所需软件工具清单）</w:t>
      </w:r>
    </w:p>
    <w:p w14:paraId="18EBD2EE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形象比喻：组装设备时的“零件采购清单”。</w:t>
      </w:r>
    </w:p>
    <w:p w14:paraId="146E5E8A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具体作用：列出了后台服务运行必须用到的 Python 第三方工具包（如 Flask、flask-cors 等）。</w:t>
      </w:r>
    </w:p>
    <w:p w14:paraId="3F81BAC8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实际效果：方便测试人员一键安装所需环境，无需逐个查找下载。</w:t>
      </w:r>
    </w:p>
    <w:p w14:paraId="3247B42F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</w:p>
    <w:p w14:paraId="4157897C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9. `.env`（本地运行参数配置文件）</w:t>
      </w:r>
    </w:p>
    <w:p w14:paraId="07BF7927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形象比喻：系统的“后台保险柜设置”。</w:t>
      </w:r>
    </w:p>
    <w:p w14:paraId="684EDC92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具体作用：存放工行沙盒 API 网关网址、访问密钥和服务端口号（5000）。</w:t>
      </w:r>
    </w:p>
    <w:p w14:paraId="76DAD33A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实际效果：把敏感的网络参数与核心业务代码分开存放，符合银行业软件的安全开发标准。</w:t>
      </w:r>
    </w:p>
    <w:p w14:paraId="6D4D8DB1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</w:p>
    <w:p w14:paraId="2258EDB3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10. `.env.example`（参数配置示范样板）</w:t>
      </w:r>
    </w:p>
    <w:p w14:paraId="686C088D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形象比喻：配置文件的“空白填写范本”。</w:t>
      </w:r>
    </w:p>
    <w:p w14:paraId="5B439BFB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具体作用：提供一份不含私密密钥的标准配置样例。</w:t>
      </w:r>
    </w:p>
    <w:p w14:paraId="38099EF7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实际效果：指导新人在部署环境时如何快速创建自己的 `.env` 文件。</w:t>
      </w:r>
    </w:p>
    <w:p w14:paraId="7D74C6A4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</w:p>
    <w:p w14:paraId="6CADBA7F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11. `README.md`（项目使用说明书）</w:t>
      </w:r>
    </w:p>
    <w:p w14:paraId="5599EAD1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形象比喻：产品的“快速上手指南”。</w:t>
      </w:r>
    </w:p>
    <w:p w14:paraId="7A9AE4AE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具体作用：记录了项目的立意背景、核心功能架构，以及如何在电脑上快速启动运行该项目的步骤。</w:t>
      </w:r>
    </w:p>
    <w:p w14:paraId="0F7B5264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4"/>
          <w:szCs w:val="34"/>
        </w:rPr>
        <w:t>实际效果：帮助首次接触该项目的人员快速了解作品概况。</w:t>
      </w:r>
    </w:p>
    <w:p w14:paraId="738E81B8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</w:p>
    <w:p w14:paraId="6BBF5B10">
      <w:pPr>
        <w:spacing w:line="360" w:lineRule="auto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第二部分：评委体验与测试操作指南</w:t>
      </w:r>
    </w:p>
    <w:p w14:paraId="53516F32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sz w:val="32"/>
          <w:szCs w:val="32"/>
        </w:rPr>
        <w:t>本指南专为非技术背景的评委专家设计，无需复杂编程知识，按照以下步骤即可完成系统的安装、通关体验与数据抽检。</w:t>
      </w:r>
    </w:p>
    <w:p w14:paraId="26782D56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</w:p>
    <w:p w14:paraId="2D01C1B9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一、 电脑上快速启动项目（约 30 秒）</w:t>
      </w:r>
    </w:p>
    <w:p w14:paraId="1E944833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1.解压文件：把下载好的 `.zip` 压缩包解压到电脑任意文件夹中。</w:t>
      </w:r>
    </w:p>
    <w:p w14:paraId="1577AC9D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</w:p>
    <w:p w14:paraId="648C426A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2.打开命令行：</w:t>
      </w:r>
    </w:p>
    <w:p w14:paraId="67CF522E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>打开解压后的文件夹（能看到 `server.py` 这个文件的页面）。</w:t>
      </w:r>
    </w:p>
    <w:p w14:paraId="5D44ED31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>用鼠标单击文件夹顶部的地址栏（路径变成蓝色选中状态）。</w:t>
      </w:r>
    </w:p>
    <w:p w14:paraId="34196927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>直接输入 `cmd` 三个字母，然后按回车键（Enter）。此时会弹出一个黑色窗口。</w:t>
      </w:r>
    </w:p>
    <w:p w14:paraId="2BD4AE77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</w:p>
    <w:p w14:paraId="0AE406A2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3.运行启动命令：在黑色窗口中，依次输入以下两行命令（每输完一行按一次回车）：</w:t>
      </w:r>
    </w:p>
    <w:p w14:paraId="67D4954B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>第一步（安装组件）：`pip install -r requirements.txt`</w:t>
      </w:r>
    </w:p>
    <w:p w14:paraId="7D997BF0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>第二步（启动后台）：`python server.py`</w:t>
      </w:r>
    </w:p>
    <w:p w14:paraId="4F23D5C1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</w:p>
    <w:p w14:paraId="11B65242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4.打开网页：当黑窗口出现 `[http://127.0.0.1:5000](http://127.0.0.1:5000)` 提示时，打开电脑上的浏览器（推荐 Chrome 或 Edge），在地址栏输入：http://127.0.0.1:5000即可直接进入演练系统。</w:t>
      </w:r>
    </w:p>
    <w:p w14:paraId="741BA56D">
      <w:pPr>
        <w:spacing w:line="360" w:lineRule="auto"/>
        <w:rPr>
          <w:rFonts w:hint="eastAsia" w:ascii="宋体" w:hAnsi="宋体" w:eastAsia="宋体" w:cs="宋体"/>
          <w:b/>
          <w:bCs/>
          <w:sz w:val="32"/>
          <w:szCs w:val="32"/>
        </w:rPr>
      </w:pPr>
    </w:p>
    <w:p w14:paraId="1E95D5A4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二、 8 个业务场景全流程体验步骤</w:t>
      </w:r>
    </w:p>
    <w:p w14:paraId="2D3161DE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建议体验时将浏览器调整为手机视图大小（或拖窄浏览器窗口），顺畅走完以下流程：</w:t>
      </w:r>
    </w:p>
    <w:p w14:paraId="2DF92444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</w:p>
    <w:p w14:paraId="0E0C3C1A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[场景 1: 工行首页] ➔ [场景 2: 资产试算] ➔ [场景 3: 防诈预警与反思]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➔ [场景 4: KYCC算法诊断]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➔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[场景 5: 产品匹配与授权]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➔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[场景 6: 确认购买]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➔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[场景 7: 积分结算]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➔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[场景 8: 查看持仓]</w:t>
      </w:r>
    </w:p>
    <w:p w14:paraId="2139B5EC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                                                          </w:t>
      </w:r>
    </w:p>
    <w:p w14:paraId="23737CFA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1.场景 1：工行 App 拟真首页</w:t>
      </w:r>
    </w:p>
    <w:p w14:paraId="1E89EB6E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操作：看到熟悉的工行手机银行界面，点击页面中央红色的“湾区智汇·沉浸式金融沙盒”专属卡片。</w:t>
      </w:r>
    </w:p>
    <w:p w14:paraId="598E90D9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</w:p>
    <w:p w14:paraId="6978EB35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2.场景 2：跨境资产配置试算</w:t>
      </w:r>
    </w:p>
    <w:p w14:paraId="55A0EF58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操作：点击“股票投资”卡片，观察行情数字变动与下拉面板，选择偏好的投资比例后，点击“确认当前资产配置方案”。</w:t>
      </w:r>
    </w:p>
    <w:p w14:paraId="45622B59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</w:p>
    <w:p w14:paraId="4B6EB175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3.场景 3：防诈 Pre-check 与启发式打字反思</w:t>
      </w:r>
    </w:p>
    <w:p w14:paraId="3B6310C1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操作：</w:t>
      </w:r>
    </w:p>
    <w:p w14:paraId="249F273F">
      <w:pPr>
        <w:numPr>
          <w:ilvl w:val="0"/>
          <w:numId w:val="13"/>
        </w:num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页面弹出【工行客服】安全预警卡片，用鼠标向上按住卡片滑动（或直接点击卡片）将其消除。</w:t>
      </w:r>
    </w:p>
    <w:p w14:paraId="176F4BE0">
      <w:pPr>
        <w:numPr>
          <w:ilvl w:val="0"/>
          <w:numId w:val="13"/>
        </w:num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若不填写内容直接点击提交，页面会红框抖动报错。选择预设的答复短语或输入反思文字后，点击“提交反思并继续”。</w:t>
      </w:r>
    </w:p>
    <w:p w14:paraId="10897796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</w:p>
    <w:p w14:paraId="0C39ECE7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4.场景 4：KYCC 行为数据诊断与“顿悟时刻”</w:t>
      </w:r>
    </w:p>
    <w:p w14:paraId="7412CD3E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操作：页面自动切换为暗黑科技风格，展示系统捕捉到的犹豫思考时间与“贪婪/恐惧指数”。观察仪表盘指针停留在 35% 红蓝交界区。稍等 4 秒，系统会自动弹出“顿悟时刻”方案报告。</w:t>
      </w:r>
    </w:p>
    <w:p w14:paraId="0F277950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</w:p>
    <w:p w14:paraId="77CC1BD6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5.场景 5：智能产品匹配与手机银行授权</w:t>
      </w:r>
    </w:p>
    <w:p w14:paraId="3C98E6E8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操作：查看系统推荐的“工银亚洲·粤港澳跨境双币理财”产品，点击“合规确认并直通工行手机银行”，会弹出工行授权对话框，点击允许授权。</w:t>
      </w:r>
    </w:p>
    <w:p w14:paraId="6F6B607D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</w:p>
    <w:p w14:paraId="73804103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6.场景 6：真实理财购买确认</w:t>
      </w:r>
    </w:p>
    <w:p w14:paraId="15E3D9F3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操作：系统已自动填好模拟购买金额与换汇汇率。勾选底部的理财协议，点击“确认并提交购买”。</w:t>
      </w:r>
    </w:p>
    <w:p w14:paraId="7A5AC000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</w:p>
    <w:p w14:paraId="302F5B3D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7.场景 7 &amp; 场景 8：加分结算与真实持仓生成</w:t>
      </w:r>
    </w:p>
    <w:p w14:paraId="6BE045AC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操作：提示购买成功并获得 500 防诈积分。点击“查看工行真实持仓”，即可看到生成的带沙盒标记的真实持仓卡片。</w:t>
      </w:r>
    </w:p>
    <w:p w14:paraId="377C7A5F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</w:p>
    <w:p w14:paraId="5A9FDD57">
      <w:pPr>
        <w:spacing w:line="360" w:lineRule="auto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三、 查看 Figma 设计原稿（UI/UX 审查）</w:t>
      </w:r>
    </w:p>
    <w:p w14:paraId="15B4B488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</w:p>
    <w:p w14:paraId="07955B41">
      <w:pPr>
        <w:spacing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如果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各位</w:t>
      </w:r>
      <w:r>
        <w:rPr>
          <w:rFonts w:hint="eastAsia" w:ascii="宋体" w:hAnsi="宋体" w:eastAsia="宋体" w:cs="宋体"/>
          <w:sz w:val="28"/>
          <w:szCs w:val="28"/>
        </w:rPr>
        <w:t>评委老师需要审查设计图纸与原型动画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</w:p>
    <w:p w14:paraId="49A23FEF">
      <w:pPr>
        <w:spacing w:line="36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</w:p>
    <w:p w14:paraId="48159A59">
      <w:pPr>
        <w:numPr>
          <w:ilvl w:val="0"/>
          <w:numId w:val="14"/>
        </w:num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打开浏览器访问 [Figma 官网](https://www.figma.com)（使用免费账号登录）。</w:t>
      </w:r>
    </w:p>
    <w:p w14:paraId="4ABED3FC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8"/>
          <w:szCs w:val="28"/>
        </w:rPr>
      </w:pPr>
    </w:p>
    <w:p w14:paraId="3D13C549">
      <w:pPr>
        <w:numPr>
          <w:ilvl w:val="0"/>
          <w:numId w:val="14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 Figma 主页右上角点击“Import file”（导入文件），把项目包里的 `Figma.fig` 拖进去打开。</w:t>
      </w:r>
    </w:p>
    <w:p w14:paraId="3DEE654B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8"/>
          <w:szCs w:val="28"/>
        </w:rPr>
      </w:pPr>
    </w:p>
    <w:p w14:paraId="5DEAF6F3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3.审查重点：</w:t>
      </w:r>
    </w:p>
    <w:p w14:paraId="5335EFB9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>设计还原度：对比 Figma 里的图纸与跑起来的网页，两者在字号、颜色（工行红）、间距上完全一致。</w:t>
      </w:r>
    </w:p>
    <w:p w14:paraId="751338C0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>交互原型播放：点击 Figma 右上角的播放按钮（▶），可以体验不依赖代码的纯设计原型。</w:t>
      </w:r>
    </w:p>
    <w:p w14:paraId="7C173D61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</w:p>
    <w:p w14:paraId="035816CB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四、 如何验证系统使用的是真实数据（防假数据抽检）</w:t>
      </w:r>
    </w:p>
    <w:p w14:paraId="596A3E8A">
      <w:pPr>
        <w:spacing w:line="360" w:lineRule="auto"/>
        <w:rPr>
          <w:rFonts w:hint="eastAsia" w:ascii="宋体" w:hAnsi="宋体" w:eastAsia="宋体" w:cs="宋体"/>
          <w:sz w:val="34"/>
          <w:szCs w:val="34"/>
        </w:rPr>
      </w:pPr>
    </w:p>
    <w:p w14:paraId="6C9BA046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为了验证系统是在真实进行数据采集与算法计算，而非死板的固定页面，评委老师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们</w:t>
      </w:r>
      <w:r>
        <w:rPr>
          <w:rFonts w:hint="eastAsia" w:ascii="宋体" w:hAnsi="宋体" w:eastAsia="宋体" w:cs="宋体"/>
          <w:sz w:val="28"/>
          <w:szCs w:val="28"/>
        </w:rPr>
        <w:t>可通过以下两种简单方法抽检：</w:t>
      </w:r>
    </w:p>
    <w:p w14:paraId="60F29D9C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</w:p>
    <w:p w14:paraId="56769A48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1.查看命令行黑窗口（日志输出）：</w:t>
      </w:r>
    </w:p>
    <w:p w14:paraId="154C2895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>在网页上进行点击、滑卡或输入时，切换回运行 `server.py` 的黑色命令行窗口。</w:t>
      </w:r>
    </w:p>
    <w:p w14:paraId="2CCCCACD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>会看到黑窗口正在实时打印彩色的动作日志，显示接收到了用户的点击事件和思考秒数。</w:t>
      </w:r>
    </w:p>
    <w:p w14:paraId="22DD7B47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</w:p>
    <w:p w14:paraId="4121B446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2.查看本地日志文件（数据落库）：</w:t>
      </w:r>
    </w:p>
    <w:p w14:paraId="2684B372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>完成一次体验后，用记事本打开项目里的 `data/events.json` 文件。</w:t>
      </w:r>
    </w:p>
    <w:p w14:paraId="490EBD2E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>拉到最下方，可以看到刚刚自己在网页上的操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</w:rPr>
        <w:t>作时间、点击记录以及输入的反思文字已经真实写入并保存了下来。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95F6E4"/>
    <w:multiLevelType w:val="singleLevel"/>
    <w:tmpl w:val="8895F6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122028D"/>
    <w:multiLevelType w:val="singleLevel"/>
    <w:tmpl w:val="9122028D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9435139E"/>
    <w:multiLevelType w:val="singleLevel"/>
    <w:tmpl w:val="9435139E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B882D4C3"/>
    <w:multiLevelType w:val="singleLevel"/>
    <w:tmpl w:val="B882D4C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959F6DF"/>
    <w:multiLevelType w:val="singleLevel"/>
    <w:tmpl w:val="B959F6D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DB5895AE"/>
    <w:multiLevelType w:val="singleLevel"/>
    <w:tmpl w:val="DB5895A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E11E7299"/>
    <w:multiLevelType w:val="singleLevel"/>
    <w:tmpl w:val="E11E729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1D9C5497"/>
    <w:multiLevelType w:val="singleLevel"/>
    <w:tmpl w:val="1D9C54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3862E38E"/>
    <w:multiLevelType w:val="singleLevel"/>
    <w:tmpl w:val="3862E38E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3F884446"/>
    <w:multiLevelType w:val="singleLevel"/>
    <w:tmpl w:val="3F884446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4755EDE1"/>
    <w:multiLevelType w:val="singleLevel"/>
    <w:tmpl w:val="4755EDE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4C7C2C58"/>
    <w:multiLevelType w:val="singleLevel"/>
    <w:tmpl w:val="4C7C2C58"/>
    <w:lvl w:ilvl="0" w:tentative="0">
      <w:start w:val="1"/>
      <w:numFmt w:val="decimal"/>
      <w:suff w:val="nothing"/>
      <w:lvlText w:val="（%1）"/>
      <w:lvlJc w:val="left"/>
    </w:lvl>
  </w:abstractNum>
  <w:abstractNum w:abstractNumId="12">
    <w:nsid w:val="66703402"/>
    <w:multiLevelType w:val="singleLevel"/>
    <w:tmpl w:val="6670340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6AD4A9A1"/>
    <w:multiLevelType w:val="singleLevel"/>
    <w:tmpl w:val="6AD4A9A1"/>
    <w:lvl w:ilvl="0" w:tentative="0">
      <w:start w:val="1"/>
      <w:numFmt w:val="chineseCounting"/>
      <w:lvlText w:val="%1、"/>
      <w:lvlJc w:val="left"/>
    </w:lvl>
  </w:abstractNum>
  <w:num w:numId="1">
    <w:abstractNumId w:val="13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8"/>
  </w:num>
  <w:num w:numId="8">
    <w:abstractNumId w:val="5"/>
  </w:num>
  <w:num w:numId="9">
    <w:abstractNumId w:val="2"/>
  </w:num>
  <w:num w:numId="10">
    <w:abstractNumId w:val="12"/>
  </w:num>
  <w:num w:numId="11">
    <w:abstractNumId w:val="11"/>
  </w:num>
  <w:num w:numId="12">
    <w:abstractNumId w:val="10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FD34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314</Words>
  <Characters>354</Characters>
  <Lines>0</Lines>
  <Paragraphs>0</Paragraphs>
  <TotalTime>28</TotalTime>
  <ScaleCrop>false</ScaleCrop>
  <LinksUpToDate>false</LinksUpToDate>
  <CharactersWithSpaces>365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2026-10-18T19:08:00Z</dcterms:created>
  <dc:creator>iPhone</dc:creator>
  <cp:lastModifiedBy>rain</cp:lastModifiedBy>
  <dcterms:modified xsi:type="dcterms:W3CDTF">2026-10-18T12:57:05Z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ACDCEE3B2C0090EDCBA8D46A15FA5502_31</vt:lpwstr>
  </property>
  <property fmtid="{D5CDD505-2E9C-101B-9397-08002B2CF9AE}" pid="4" name="KSOTemplateDocerSaveRecord">
    <vt:lpwstr>eyJoZGlkIjoiYWZlZDU2Y2E5YjBiZjY0YmQyN2JiNTNkNjJiZTk2YWYiLCJ1c2VySWQiOiI3ODU0OTUxNDEifQ==</vt:lpwstr>
  </property>
</Properties>
</file>