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rFonts w:ascii="Microsoft YaHei" w:hAnsi="Microsoft YaHei" w:eastAsia="Microsoft YaHei"/>
          <w:b/>
          <w:color w:val="000000"/>
          <w:sz w:val="48"/>
        </w:rPr>
        <w:t>无线电干扰源定位与清除论文审查报告</w:t>
      </w:r>
    </w:p>
    <w:p>
      <w:pPr>
        <w:spacing w:after="560"/>
        <w:jc w:val="center"/>
      </w:pPr>
      <w:r>
        <w:rPr>
          <w:rFonts w:ascii="Microsoft YaHei" w:hAnsi="Microsoft YaHei" w:eastAsia="Microsoft YaHei"/>
          <w:color w:val="707780"/>
          <w:sz w:val="24"/>
        </w:rPr>
        <w:t>针对当前 main.pdf 的内容正确性、可读性与提交完整性审查</w:t>
      </w:r>
    </w:p>
    <w:p>
      <w:pPr>
        <w:spacing w:after="100"/>
        <w:jc w:val="center"/>
      </w:pPr>
      <w:r>
        <w:rPr>
          <w:rFonts w:ascii="SimSun" w:hAnsi="SimSun" w:eastAsia="SimSun"/>
          <w:color w:val="707780"/>
          <w:sz w:val="21"/>
        </w:rPr>
        <w:t>审查对象：B_locator/paper/main.pdf</w:t>
      </w:r>
    </w:p>
    <w:p>
      <w:pPr>
        <w:spacing w:after="100"/>
        <w:jc w:val="center"/>
      </w:pPr>
      <w:r>
        <w:rPr>
          <w:rFonts w:ascii="SimSun" w:hAnsi="SimSun" w:eastAsia="SimSun"/>
          <w:color w:val="707780"/>
          <w:sz w:val="21"/>
        </w:rPr>
        <w:t>当前版本：51 页，正文与参考文献截至第 30 页，附录自第 30 页下部开始</w:t>
      </w:r>
    </w:p>
    <w:p>
      <w:pPr>
        <w:spacing w:after="100"/>
        <w:jc w:val="center"/>
      </w:pPr>
      <w:r>
        <w:rPr>
          <w:rFonts w:ascii="SimSun" w:hAnsi="SimSun" w:eastAsia="SimSun"/>
          <w:color w:val="707780"/>
          <w:sz w:val="21"/>
        </w:rPr>
        <w:t>文件时间：2026-09-13 13:52:12</w:t>
      </w:r>
    </w:p>
    <w:p>
      <w:pPr>
        <w:spacing w:after="100"/>
        <w:jc w:val="center"/>
      </w:pPr>
      <w:r>
        <w:rPr>
          <w:rFonts w:ascii="Consolas" w:hAnsi="Consolas" w:eastAsia="Consolas"/>
          <w:color w:val="707780"/>
          <w:sz w:val="18"/>
        </w:rPr>
        <w:t>SHA-256：5ACFF3DC0C1737D922CFCB014120659FD0EB7D6A423ED3A940C2F71CB3403FFA</w:t>
      </w:r>
    </w:p>
    <w:p>
      <w:pPr>
        <w:spacing w:after="100"/>
        <w:jc w:val="center"/>
      </w:pPr>
      <w:r>
        <w:rPr>
          <w:rFonts w:ascii="SimSun" w:hAnsi="SimSun" w:eastAsia="SimSun"/>
          <w:color w:val="707780"/>
          <w:sz w:val="21"/>
        </w:rPr>
        <w:t>审查日期：2026-09-13</w:t>
      </w:r>
    </w:p>
    <w:p>
      <w:pPr>
        <w:spacing w:before="680" w:after="0"/>
        <w:jc w:val="center"/>
      </w:pPr>
      <w:r>
        <w:rPr>
          <w:rFonts w:ascii="SimSun" w:hAnsi="SimSun" w:eastAsia="SimSun"/>
          <w:b/>
          <w:color w:val="000000"/>
          <w:sz w:val="21"/>
        </w:rPr>
        <w:t>说明：本报告只提出问题与修改建议，不对论文、图件、代码或数据执行修改。</w:t>
      </w:r>
    </w:p>
    <w:p>
      <w:r>
        <w:br w:type="page"/>
      </w:r>
    </w:p>
    <w:p>
      <w:pPr>
        <w:pStyle w:val="Heading1"/>
      </w:pPr>
      <w:r>
        <w:t>一 审查结论</w:t>
      </w:r>
    </w:p>
    <w:p>
      <w:pPr>
        <w:keepNext w:val="0"/>
        <w:spacing w:before="0" w:after="160" w:line="300" w:lineRule="auto"/>
      </w:pPr>
      <w:r>
        <w:rPr>
          <w:rFonts w:ascii="SimSun" w:hAnsi="SimSun" w:eastAsia="SimSun"/>
          <w:b/>
          <w:i w:val="0"/>
          <w:color w:val="000000"/>
          <w:sz w:val="21"/>
        </w:rPr>
        <w:t>总体结论：</w:t>
      </w:r>
      <w:r>
        <w:rPr>
          <w:rFonts w:ascii="SimSun" w:hAnsi="SimSun" w:eastAsia="SimSun"/>
          <w:b w:val="0"/>
          <w:i w:val="0"/>
          <w:color w:val="000000"/>
          <w:sz w:val="21"/>
        </w:rPr>
        <w:t>当前稿不宜直接作为最终提交稿。用户提出的 11 点中，7 点成立，4 点部分成立；没有一项应被简单忽略。除此之外，审查发现了更高优先级的问题：问题三和问题四的正式测试尚未完成，参考文献仍为占位文本，问题二的数值接收门控实现与正文式（22）不一致，且式（16）存在代数错误。上述问题会影响提交完整性或主要数值结论的可信度，应先于一般措辞和排版问题处理。</w:t>
      </w:r>
    </w:p>
    <w:p>
      <w:pPr>
        <w:keepNext w:val="0"/>
        <w:spacing w:before="0" w:after="200" w:line="300" w:lineRule="auto"/>
      </w:pPr>
      <w:r>
        <w:rPr>
          <w:rFonts w:ascii="SimSun" w:hAnsi="SimSun" w:eastAsia="SimSun"/>
          <w:b/>
          <w:i w:val="0"/>
          <w:color w:val="9E2A2B"/>
          <w:sz w:val="21"/>
        </w:rPr>
        <w:t>时效提醒：</w:t>
      </w:r>
      <w:r>
        <w:rPr>
          <w:rFonts w:ascii="SimSun" w:hAnsi="SimSun" w:eastAsia="SimSun"/>
          <w:b w:val="0"/>
          <w:i w:val="0"/>
          <w:color w:val="000000"/>
          <w:sz w:val="21"/>
        </w:rPr>
        <w:t>原题写明北京时间 2026 年 9 月 13 日 17:30 后不能启动新的演练或正式测试。当前 PDF 明示两问正式测试未取得，因此这是本稿最紧急的外部依赖。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67"/>
        <w:gridCol w:w="2367"/>
        <w:gridCol w:w="2367"/>
        <w:gridCol w:w="2367"/>
      </w:tblGrid>
      <w:tr>
        <w:trPr>
          <w:tblHeader w:val="true"/>
        </w:trPr>
        <w:tc>
          <w:tcPr>
            <w:tcW w:type="dxa" w:w="737"/>
            <w:shd w:fill="24364B"/>
            <w:tcMar>
              <w:top w:w="90" w:type="dxa"/>
              <w:start w:w="100" w:type="dxa"/>
              <w:bottom w:w="90" w:type="dxa"/>
              <w:end w:w="100" w:type="dxa"/>
            </w:tcMar>
            <w:vAlign w:val="center"/>
          </w:tcPr>
          <w:p>
            <w:pPr>
              <w:jc w:val="center"/>
            </w:pPr>
            <w:r>
              <w:rPr>
                <w:rFonts w:ascii="Microsoft YaHei" w:hAnsi="Microsoft YaHei" w:eastAsia="Microsoft YaHei"/>
                <w:b/>
                <w:color w:val="FFFFFF"/>
                <w:sz w:val="19"/>
              </w:rPr>
              <w:t>级别</w:t>
            </w:r>
          </w:p>
        </w:tc>
        <w:tc>
          <w:tcPr>
            <w:tcW w:type="dxa" w:w="1701"/>
            <w:shd w:fill="24364B"/>
            <w:tcMar>
              <w:top w:w="90" w:type="dxa"/>
              <w:start w:w="100" w:type="dxa"/>
              <w:bottom w:w="90" w:type="dxa"/>
              <w:end w:w="100" w:type="dxa"/>
            </w:tcMar>
            <w:vAlign w:val="center"/>
          </w:tcPr>
          <w:p>
            <w:pPr>
              <w:jc w:val="center"/>
            </w:pPr>
            <w:r>
              <w:rPr>
                <w:rFonts w:ascii="Microsoft YaHei" w:hAnsi="Microsoft YaHei" w:eastAsia="Microsoft YaHei"/>
                <w:b/>
                <w:color w:val="FFFFFF"/>
                <w:sz w:val="19"/>
              </w:rPr>
              <w:t>性质</w:t>
            </w:r>
          </w:p>
        </w:tc>
        <w:tc>
          <w:tcPr>
            <w:tcW w:type="dxa" w:w="4876"/>
            <w:shd w:fill="24364B"/>
            <w:tcMar>
              <w:top w:w="90" w:type="dxa"/>
              <w:start w:w="100" w:type="dxa"/>
              <w:bottom w:w="90" w:type="dxa"/>
              <w:end w:w="100" w:type="dxa"/>
            </w:tcMar>
            <w:vAlign w:val="center"/>
          </w:tcPr>
          <w:p>
            <w:pPr>
              <w:jc w:val="center"/>
            </w:pPr>
            <w:r>
              <w:rPr>
                <w:rFonts w:ascii="Microsoft YaHei" w:hAnsi="Microsoft YaHei" w:eastAsia="Microsoft YaHei"/>
                <w:b/>
                <w:color w:val="FFFFFF"/>
                <w:sz w:val="19"/>
              </w:rPr>
              <w:t>核心问题</w:t>
            </w:r>
          </w:p>
        </w:tc>
        <w:tc>
          <w:tcPr>
            <w:tcW w:type="dxa" w:w="2154"/>
            <w:shd w:fill="24364B"/>
            <w:tcMar>
              <w:top w:w="90" w:type="dxa"/>
              <w:start w:w="100" w:type="dxa"/>
              <w:bottom w:w="90" w:type="dxa"/>
              <w:end w:w="100" w:type="dxa"/>
            </w:tcMar>
            <w:vAlign w:val="center"/>
          </w:tcPr>
          <w:p>
            <w:pPr>
              <w:jc w:val="center"/>
            </w:pPr>
            <w:r>
              <w:rPr>
                <w:rFonts w:ascii="Microsoft YaHei" w:hAnsi="Microsoft YaHei" w:eastAsia="Microsoft YaHei"/>
                <w:b/>
                <w:color w:val="FFFFFF"/>
                <w:sz w:val="19"/>
              </w:rPr>
              <w:t>处理要求</w:t>
            </w:r>
          </w:p>
        </w:tc>
      </w:tr>
      <w:tr>
        <w:trPr>
          <w:cantSplit/>
        </w:trPr>
        <w:tc>
          <w:tcPr>
            <w:tcW w:type="dxa" w:w="737"/>
            <w:tcMar>
              <w:top w:w="90" w:type="dxa"/>
              <w:start w:w="100" w:type="dxa"/>
              <w:bottom w:w="90" w:type="dxa"/>
              <w:end w:w="100" w:type="dxa"/>
            </w:tcMar>
            <w:vAlign w:val="center"/>
          </w:tcPr>
          <w:p>
            <w:pPr>
              <w:spacing w:after="0" w:line="276" w:lineRule="auto"/>
              <w:jc w:val="center"/>
            </w:pPr>
            <w:r>
              <w:rPr>
                <w:rFonts w:ascii="SimSun" w:hAnsi="SimSun" w:eastAsia="SimSun"/>
                <w:b/>
                <w:color w:val="9E2A2B"/>
                <w:sz w:val="18"/>
              </w:rPr>
              <w:t>P0</w:t>
            </w:r>
          </w:p>
        </w:tc>
        <w:tc>
          <w:tcPr>
            <w:tcW w:type="dxa" w:w="1701"/>
            <w:tcMar>
              <w:top w:w="90" w:type="dxa"/>
              <w:start w:w="100" w:type="dxa"/>
              <w:bottom w:w="90" w:type="dxa"/>
              <w:end w:w="100" w:type="dxa"/>
            </w:tcMar>
            <w:vAlign w:val="center"/>
          </w:tcPr>
          <w:p>
            <w:pPr>
              <w:spacing w:after="0" w:line="276" w:lineRule="auto"/>
              <w:jc w:val="center"/>
            </w:pPr>
            <w:r>
              <w:rPr>
                <w:rFonts w:ascii="SimSun" w:hAnsi="SimSun" w:eastAsia="SimSun"/>
                <w:b w:val="0"/>
                <w:color w:val="000000"/>
                <w:sz w:val="18"/>
              </w:rPr>
              <w:t>提交阻断</w:t>
            </w:r>
          </w:p>
        </w:tc>
        <w:tc>
          <w:tcPr>
            <w:tcW w:type="dxa" w:w="4876"/>
            <w:tcMar>
              <w:top w:w="90" w:type="dxa"/>
              <w:start w:w="100" w:type="dxa"/>
              <w:bottom w:w="90" w:type="dxa"/>
              <w:end w:w="100" w:type="dxa"/>
            </w:tcMar>
            <w:vAlign w:val="center"/>
          </w:tcPr>
          <w:p>
            <w:pPr>
              <w:spacing w:after="0" w:line="276" w:lineRule="auto"/>
              <w:jc w:val="left"/>
            </w:pPr>
            <w:r>
              <w:rPr>
                <w:rFonts w:ascii="SimSun" w:hAnsi="SimSun" w:eastAsia="SimSun"/>
                <w:b w:val="0"/>
                <w:color w:val="000000"/>
                <w:sz w:val="18"/>
              </w:rPr>
              <w:t>问题三、四各三次正式测试及日志缺失；参考文献为占位内容。</w:t>
            </w:r>
          </w:p>
        </w:tc>
        <w:tc>
          <w:tcPr>
            <w:tcW w:type="dxa" w:w="2154"/>
            <w:tcMar>
              <w:top w:w="90" w:type="dxa"/>
              <w:start w:w="100" w:type="dxa"/>
              <w:bottom w:w="90" w:type="dxa"/>
              <w:end w:w="100" w:type="dxa"/>
            </w:tcMar>
            <w:vAlign w:val="center"/>
          </w:tcPr>
          <w:p>
            <w:pPr>
              <w:spacing w:after="0" w:line="276" w:lineRule="auto"/>
              <w:jc w:val="center"/>
            </w:pPr>
            <w:r>
              <w:rPr>
                <w:rFonts w:ascii="SimSun" w:hAnsi="SimSun" w:eastAsia="SimSun"/>
                <w:b w:val="0"/>
                <w:color w:val="000000"/>
                <w:sz w:val="18"/>
              </w:rPr>
              <w:t>完成后再定稿</w:t>
            </w:r>
          </w:p>
        </w:tc>
      </w:tr>
      <w:tr>
        <w:trPr>
          <w:cantSplit/>
        </w:trPr>
        <w:tc>
          <w:tcPr>
            <w:tcW w:type="dxa" w:w="737"/>
            <w:tcMar>
              <w:top w:w="90" w:type="dxa"/>
              <w:start w:w="100" w:type="dxa"/>
              <w:bottom w:w="90" w:type="dxa"/>
              <w:end w:w="100" w:type="dxa"/>
            </w:tcMar>
            <w:vAlign w:val="center"/>
            <w:shd w:fill="F5F6F7"/>
          </w:tcPr>
          <w:p>
            <w:pPr>
              <w:spacing w:after="0" w:line="276" w:lineRule="auto"/>
              <w:jc w:val="center"/>
            </w:pPr>
            <w:r>
              <w:rPr>
                <w:rFonts w:ascii="SimSun" w:hAnsi="SimSun" w:eastAsia="SimSun"/>
                <w:b/>
                <w:color w:val="9E2A2B"/>
                <w:sz w:val="18"/>
              </w:rPr>
              <w:t>P1</w:t>
            </w:r>
          </w:p>
        </w:tc>
        <w:tc>
          <w:tcPr>
            <w:tcW w:type="dxa" w:w="1701"/>
            <w:tcMar>
              <w:top w:w="90" w:type="dxa"/>
              <w:start w:w="100" w:type="dxa"/>
              <w:bottom w:w="90" w:type="dxa"/>
              <w:end w:w="100" w:type="dxa"/>
            </w:tcMar>
            <w:vAlign w:val="center"/>
            <w:shd w:fill="F5F6F7"/>
          </w:tcPr>
          <w:p>
            <w:pPr>
              <w:spacing w:after="0" w:line="276" w:lineRule="auto"/>
              <w:jc w:val="center"/>
            </w:pPr>
            <w:r>
              <w:rPr>
                <w:rFonts w:ascii="SimSun" w:hAnsi="SimSun" w:eastAsia="SimSun"/>
                <w:b w:val="0"/>
                <w:color w:val="000000"/>
                <w:sz w:val="18"/>
              </w:rPr>
              <w:t>结果可信度</w:t>
            </w:r>
          </w:p>
        </w:tc>
        <w:tc>
          <w:tcPr>
            <w:tcW w:type="dxa" w:w="4876"/>
            <w:tcMar>
              <w:top w:w="90" w:type="dxa"/>
              <w:start w:w="100" w:type="dxa"/>
              <w:bottom w:w="90" w:type="dxa"/>
              <w:end w:w="100" w:type="dxa"/>
            </w:tcMar>
            <w:vAlign w:val="center"/>
            <w:shd w:fill="F5F6F7"/>
          </w:tcPr>
          <w:p>
            <w:pPr>
              <w:spacing w:after="0" w:line="276" w:lineRule="auto"/>
              <w:jc w:val="left"/>
            </w:pPr>
            <w:r>
              <w:rPr>
                <w:rFonts w:ascii="SimSun" w:hAnsi="SimSun" w:eastAsia="SimSun"/>
                <w:b w:val="0"/>
                <w:color w:val="000000"/>
                <w:sz w:val="18"/>
              </w:rPr>
              <w:t>问题二接收门控代码与式（22）不符；式（16）错误；理论与数值目标口径不一致。</w:t>
            </w:r>
          </w:p>
        </w:tc>
        <w:tc>
          <w:tcPr>
            <w:tcW w:type="dxa" w:w="2154"/>
            <w:tcMar>
              <w:top w:w="90" w:type="dxa"/>
              <w:start w:w="100" w:type="dxa"/>
              <w:bottom w:w="90" w:type="dxa"/>
              <w:end w:w="100" w:type="dxa"/>
            </w:tcMar>
            <w:vAlign w:val="center"/>
            <w:shd w:fill="F5F6F7"/>
          </w:tcPr>
          <w:p>
            <w:pPr>
              <w:spacing w:after="0" w:line="276" w:lineRule="auto"/>
              <w:jc w:val="center"/>
            </w:pPr>
            <w:r>
              <w:rPr>
                <w:rFonts w:ascii="SimSun" w:hAnsi="SimSun" w:eastAsia="SimSun"/>
                <w:b w:val="0"/>
                <w:color w:val="000000"/>
                <w:sz w:val="18"/>
              </w:rPr>
              <w:t>修正并重算</w:t>
            </w:r>
          </w:p>
        </w:tc>
      </w:tr>
      <w:tr>
        <w:trPr>
          <w:cantSplit/>
        </w:trPr>
        <w:tc>
          <w:tcPr>
            <w:tcW w:type="dxa" w:w="737"/>
            <w:tcMar>
              <w:top w:w="90" w:type="dxa"/>
              <w:start w:w="100" w:type="dxa"/>
              <w:bottom w:w="90" w:type="dxa"/>
              <w:end w:w="100" w:type="dxa"/>
            </w:tcMar>
            <w:vAlign w:val="center"/>
          </w:tcPr>
          <w:p>
            <w:pPr>
              <w:spacing w:after="0" w:line="276" w:lineRule="auto"/>
              <w:jc w:val="center"/>
            </w:pPr>
            <w:r>
              <w:rPr>
                <w:rFonts w:ascii="SimSun" w:hAnsi="SimSun" w:eastAsia="SimSun"/>
                <w:b/>
                <w:color w:val="9E2A2B"/>
                <w:sz w:val="18"/>
              </w:rPr>
              <w:t>P1</w:t>
            </w:r>
          </w:p>
        </w:tc>
        <w:tc>
          <w:tcPr>
            <w:tcW w:type="dxa" w:w="1701"/>
            <w:tcMar>
              <w:top w:w="90" w:type="dxa"/>
              <w:start w:w="100" w:type="dxa"/>
              <w:bottom w:w="90" w:type="dxa"/>
              <w:end w:w="100" w:type="dxa"/>
            </w:tcMar>
            <w:vAlign w:val="center"/>
          </w:tcPr>
          <w:p>
            <w:pPr>
              <w:spacing w:after="0" w:line="276" w:lineRule="auto"/>
              <w:jc w:val="center"/>
            </w:pPr>
            <w:r>
              <w:rPr>
                <w:rFonts w:ascii="SimSun" w:hAnsi="SimSun" w:eastAsia="SimSun"/>
                <w:b w:val="0"/>
                <w:color w:val="000000"/>
                <w:sz w:val="18"/>
              </w:rPr>
              <w:t>任务一致性</w:t>
            </w:r>
          </w:p>
        </w:tc>
        <w:tc>
          <w:tcPr>
            <w:tcW w:type="dxa" w:w="4876"/>
            <w:tcMar>
              <w:top w:w="90" w:type="dxa"/>
              <w:start w:w="100" w:type="dxa"/>
              <w:bottom w:w="90" w:type="dxa"/>
              <w:end w:w="100" w:type="dxa"/>
            </w:tcMar>
            <w:vAlign w:val="center"/>
          </w:tcPr>
          <w:p>
            <w:pPr>
              <w:spacing w:after="0" w:line="276" w:lineRule="auto"/>
              <w:jc w:val="left"/>
            </w:pPr>
            <w:r>
              <w:rPr>
                <w:rFonts w:ascii="SimSun" w:hAnsi="SimSun" w:eastAsia="SimSun"/>
                <w:b w:val="0"/>
                <w:color w:val="000000"/>
                <w:sz w:val="18"/>
              </w:rPr>
              <w:t>fast 速度档主动放弃全域证书，与“确保全部清除”不一致。</w:t>
            </w:r>
          </w:p>
        </w:tc>
        <w:tc>
          <w:tcPr>
            <w:tcW w:type="dxa" w:w="2154"/>
            <w:tcMar>
              <w:top w:w="90" w:type="dxa"/>
              <w:start w:w="100" w:type="dxa"/>
              <w:bottom w:w="90" w:type="dxa"/>
              <w:end w:w="100" w:type="dxa"/>
            </w:tcMar>
            <w:vAlign w:val="center"/>
          </w:tcPr>
          <w:p>
            <w:pPr>
              <w:spacing w:after="0" w:line="276" w:lineRule="auto"/>
              <w:jc w:val="center"/>
            </w:pPr>
            <w:r>
              <w:rPr>
                <w:rFonts w:ascii="SimSun" w:hAnsi="SimSun" w:eastAsia="SimSun"/>
                <w:b w:val="0"/>
                <w:color w:val="000000"/>
                <w:sz w:val="18"/>
              </w:rPr>
              <w:t>删除论文展示</w:t>
            </w:r>
          </w:p>
        </w:tc>
      </w:tr>
      <w:tr>
        <w:trPr>
          <w:cantSplit/>
        </w:trPr>
        <w:tc>
          <w:tcPr>
            <w:tcW w:type="dxa" w:w="737"/>
            <w:tcMar>
              <w:top w:w="90" w:type="dxa"/>
              <w:start w:w="100" w:type="dxa"/>
              <w:bottom w:w="90" w:type="dxa"/>
              <w:end w:w="100" w:type="dxa"/>
            </w:tcMar>
            <w:vAlign w:val="center"/>
            <w:shd w:fill="F5F6F7"/>
          </w:tcPr>
          <w:p>
            <w:pPr>
              <w:spacing w:after="0" w:line="276" w:lineRule="auto"/>
              <w:jc w:val="center"/>
            </w:pPr>
            <w:r>
              <w:rPr>
                <w:rFonts w:ascii="SimSun" w:hAnsi="SimSun" w:eastAsia="SimSun"/>
                <w:b/>
                <w:color w:val="000000"/>
                <w:sz w:val="18"/>
              </w:rPr>
              <w:t>P2</w:t>
            </w:r>
          </w:p>
        </w:tc>
        <w:tc>
          <w:tcPr>
            <w:tcW w:type="dxa" w:w="1701"/>
            <w:tcMar>
              <w:top w:w="90" w:type="dxa"/>
              <w:start w:w="100" w:type="dxa"/>
              <w:bottom w:w="90" w:type="dxa"/>
              <w:end w:w="100" w:type="dxa"/>
            </w:tcMar>
            <w:vAlign w:val="center"/>
            <w:shd w:fill="F5F6F7"/>
          </w:tcPr>
          <w:p>
            <w:pPr>
              <w:spacing w:after="0" w:line="276" w:lineRule="auto"/>
              <w:jc w:val="center"/>
            </w:pPr>
            <w:r>
              <w:rPr>
                <w:rFonts w:ascii="SimSun" w:hAnsi="SimSun" w:eastAsia="SimSun"/>
                <w:b w:val="0"/>
                <w:color w:val="000000"/>
                <w:sz w:val="18"/>
              </w:rPr>
              <w:t>可读性</w:t>
            </w:r>
          </w:p>
        </w:tc>
        <w:tc>
          <w:tcPr>
            <w:tcW w:type="dxa" w:w="4876"/>
            <w:tcMar>
              <w:top w:w="90" w:type="dxa"/>
              <w:start w:w="100" w:type="dxa"/>
              <w:bottom w:w="90" w:type="dxa"/>
              <w:end w:w="100" w:type="dxa"/>
            </w:tcMar>
            <w:vAlign w:val="center"/>
            <w:shd w:fill="F5F6F7"/>
          </w:tcPr>
          <w:p>
            <w:pPr>
              <w:spacing w:after="0" w:line="276" w:lineRule="auto"/>
              <w:jc w:val="left"/>
            </w:pPr>
            <w:r>
              <w:rPr>
                <w:rFonts w:ascii="SimSun" w:hAnsi="SimSun" w:eastAsia="SimSun"/>
                <w:b w:val="0"/>
                <w:color w:val="000000"/>
                <w:sz w:val="18"/>
              </w:rPr>
              <w:t>图 1、图 4、图 13及问题四式（40）至式（53）的解释不足或符号冲突。</w:t>
            </w:r>
          </w:p>
        </w:tc>
        <w:tc>
          <w:tcPr>
            <w:tcW w:type="dxa" w:w="2154"/>
            <w:tcMar>
              <w:top w:w="90" w:type="dxa"/>
              <w:start w:w="100" w:type="dxa"/>
              <w:bottom w:w="90" w:type="dxa"/>
              <w:end w:w="100" w:type="dxa"/>
            </w:tcMar>
            <w:vAlign w:val="center"/>
            <w:shd w:fill="F5F6F7"/>
          </w:tcPr>
          <w:p>
            <w:pPr>
              <w:spacing w:after="0" w:line="276" w:lineRule="auto"/>
              <w:jc w:val="center"/>
            </w:pPr>
            <w:r>
              <w:rPr>
                <w:rFonts w:ascii="SimSun" w:hAnsi="SimSun" w:eastAsia="SimSun"/>
                <w:b w:val="0"/>
                <w:color w:val="000000"/>
                <w:sz w:val="18"/>
              </w:rPr>
              <w:t>补局部说明</w:t>
            </w:r>
          </w:p>
        </w:tc>
      </w:tr>
      <w:tr>
        <w:trPr>
          <w:cantSplit/>
        </w:trPr>
        <w:tc>
          <w:tcPr>
            <w:tcW w:type="dxa" w:w="737"/>
            <w:tcMar>
              <w:top w:w="90" w:type="dxa"/>
              <w:start w:w="100" w:type="dxa"/>
              <w:bottom w:w="90" w:type="dxa"/>
              <w:end w:w="100" w:type="dxa"/>
            </w:tcMar>
            <w:vAlign w:val="center"/>
          </w:tcPr>
          <w:p>
            <w:pPr>
              <w:spacing w:after="0" w:line="276" w:lineRule="auto"/>
              <w:jc w:val="center"/>
            </w:pPr>
            <w:r>
              <w:rPr>
                <w:rFonts w:ascii="SimSun" w:hAnsi="SimSun" w:eastAsia="SimSun"/>
                <w:b/>
                <w:color w:val="000000"/>
                <w:sz w:val="18"/>
              </w:rPr>
              <w:t>P3</w:t>
            </w:r>
          </w:p>
        </w:tc>
        <w:tc>
          <w:tcPr>
            <w:tcW w:type="dxa" w:w="1701"/>
            <w:tcMar>
              <w:top w:w="90" w:type="dxa"/>
              <w:start w:w="100" w:type="dxa"/>
              <w:bottom w:w="90" w:type="dxa"/>
              <w:end w:w="100" w:type="dxa"/>
            </w:tcMar>
            <w:vAlign w:val="center"/>
          </w:tcPr>
          <w:p>
            <w:pPr>
              <w:spacing w:after="0" w:line="276" w:lineRule="auto"/>
              <w:jc w:val="center"/>
            </w:pPr>
            <w:r>
              <w:rPr>
                <w:rFonts w:ascii="SimSun" w:hAnsi="SimSun" w:eastAsia="SimSun"/>
                <w:b w:val="0"/>
                <w:color w:val="000000"/>
                <w:sz w:val="18"/>
              </w:rPr>
              <w:t>版面规范</w:t>
            </w:r>
          </w:p>
        </w:tc>
        <w:tc>
          <w:tcPr>
            <w:tcW w:type="dxa" w:w="4876"/>
            <w:tcMar>
              <w:top w:w="90" w:type="dxa"/>
              <w:start w:w="100" w:type="dxa"/>
              <w:bottom w:w="90" w:type="dxa"/>
              <w:end w:w="100" w:type="dxa"/>
            </w:tcMar>
            <w:vAlign w:val="center"/>
          </w:tcPr>
          <w:p>
            <w:pPr>
              <w:spacing w:after="0" w:line="276" w:lineRule="auto"/>
              <w:jc w:val="left"/>
            </w:pPr>
            <w:r>
              <w:rPr>
                <w:rFonts w:ascii="SimSun" w:hAnsi="SimSun" w:eastAsia="SimSun"/>
                <w:b w:val="0"/>
                <w:color w:val="000000"/>
                <w:sz w:val="18"/>
              </w:rPr>
              <w:t>表注字距、附录编号、分页留白、图号格式和源程序附录完整性。</w:t>
            </w:r>
          </w:p>
        </w:tc>
        <w:tc>
          <w:tcPr>
            <w:tcW w:type="dxa" w:w="2154"/>
            <w:tcMar>
              <w:top w:w="90" w:type="dxa"/>
              <w:start w:w="100" w:type="dxa"/>
              <w:bottom w:w="90" w:type="dxa"/>
              <w:end w:w="100" w:type="dxa"/>
            </w:tcMar>
            <w:vAlign w:val="center"/>
          </w:tcPr>
          <w:p>
            <w:pPr>
              <w:spacing w:after="0" w:line="276" w:lineRule="auto"/>
              <w:jc w:val="center"/>
            </w:pPr>
            <w:r>
              <w:rPr>
                <w:rFonts w:ascii="SimSun" w:hAnsi="SimSun" w:eastAsia="SimSun"/>
                <w:b w:val="0"/>
                <w:color w:val="000000"/>
                <w:sz w:val="18"/>
              </w:rPr>
              <w:t>终稿统一检查</w:t>
            </w:r>
          </w:p>
        </w:tc>
      </w:tr>
    </w:tbl>
    <w:p>
      <w:pPr>
        <w:spacing w:after="20"/>
      </w:pPr>
    </w:p>
    <w:p>
      <w:pPr>
        <w:pStyle w:val="Heading1"/>
      </w:pPr>
      <w:r>
        <w:t>二 审查范围与判定方法</w:t>
      </w:r>
    </w:p>
    <w:p>
      <w:pPr>
        <w:keepNext w:val="0"/>
        <w:spacing w:before="0" w:after="90" w:line="300" w:lineRule="auto"/>
      </w:pPr>
      <w:r>
        <w:rPr>
          <w:rFonts w:ascii="SimSun" w:hAnsi="SimSun" w:eastAsia="SimSun"/>
          <w:b w:val="0"/>
          <w:i w:val="0"/>
          <w:color w:val="000000"/>
          <w:sz w:val="21"/>
        </w:rPr>
        <w:t>本次审查覆盖当前 51 页 PDF 的全部页面，并交叉核对主要 LaTeX 源文件、原题要求和与关键结论直接相关的代码。位置采用“当前 PDF 页码 + 章节/图表/公式 + 可检索原文锚点 + 源文件行号”的组合；后续即使页码变化，仍可用章节、编号和原句定位。</w:t>
      </w:r>
    </w:p>
    <w:p>
      <w:pPr>
        <w:pStyle w:val="ListBullet"/>
        <w:spacing w:after="50" w:line="288" w:lineRule="auto"/>
      </w:pPr>
      <w:r>
        <w:rPr>
          <w:rFonts w:ascii="SimSun" w:hAnsi="SimSun" w:eastAsia="SimSun"/>
          <w:color w:val="000000"/>
          <w:sz w:val="21"/>
        </w:rPr>
        <w:t>“成立”：当前版本中可直接确认问题存在。</w:t>
      </w:r>
    </w:p>
    <w:p>
      <w:pPr>
        <w:pStyle w:val="ListBullet"/>
        <w:spacing w:after="50" w:line="288" w:lineRule="auto"/>
      </w:pPr>
      <w:r>
        <w:rPr>
          <w:rFonts w:ascii="SimSun" w:hAnsi="SimSun" w:eastAsia="SimSun"/>
          <w:color w:val="000000"/>
          <w:sz w:val="21"/>
        </w:rPr>
        <w:t>“部分成立”：现象存在，但用户给出的原因、页码或符号关系需要校正。</w:t>
      </w:r>
    </w:p>
    <w:p>
      <w:pPr>
        <w:pStyle w:val="ListBullet"/>
        <w:spacing w:after="50" w:line="288" w:lineRule="auto"/>
      </w:pPr>
      <w:r>
        <w:rPr>
          <w:rFonts w:ascii="SimSun" w:hAnsi="SimSun" w:eastAsia="SimSun"/>
          <w:color w:val="000000"/>
          <w:sz w:val="21"/>
        </w:rPr>
        <w:t>“按当前版本不成立”：当前稿已有明确联系或定义；仍会指出可改进之处。</w:t>
      </w:r>
    </w:p>
    <w:p>
      <w:pPr>
        <w:pStyle w:val="ListBullet"/>
        <w:spacing w:after="50" w:line="288" w:lineRule="auto"/>
      </w:pPr>
      <w:r>
        <w:rPr>
          <w:rFonts w:ascii="SimSun" w:hAnsi="SimSun" w:eastAsia="SimSun"/>
          <w:color w:val="000000"/>
          <w:sz w:val="21"/>
        </w:rPr>
        <w:t>代码层面只对影响论文结论的关键路径作静态核对和小规模反例验证，未重新运行全部离线场景，因此所有受代码修正影响的统计均建议重新生成，而不是假定原数值仍成立。</w:t>
      </w:r>
    </w:p>
    <w:p>
      <w:pPr>
        <w:pStyle w:val="Heading1"/>
      </w:pPr>
      <w:r>
        <w:t>三 用户所列十一项意见逐条核验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56"/>
        <w:gridCol w:w="3156"/>
        <w:gridCol w:w="3156"/>
      </w:tblGrid>
      <w:tr>
        <w:trPr>
          <w:tblHeader w:val="true"/>
        </w:trPr>
        <w:tc>
          <w:tcPr>
            <w:tcW w:type="dxa" w:w="623"/>
            <w:shd w:fill="24364B"/>
            <w:tcMar>
              <w:top w:w="90" w:type="dxa"/>
              <w:start w:w="100" w:type="dxa"/>
              <w:bottom w:w="90" w:type="dxa"/>
              <w:end w:w="100" w:type="dxa"/>
            </w:tcMar>
            <w:vAlign w:val="center"/>
          </w:tcPr>
          <w:p>
            <w:pPr>
              <w:jc w:val="center"/>
            </w:pPr>
            <w:r>
              <w:rPr>
                <w:rFonts w:ascii="Microsoft YaHei" w:hAnsi="Microsoft YaHei" w:eastAsia="Microsoft YaHei"/>
                <w:b/>
                <w:color w:val="FFFFFF"/>
                <w:sz w:val="18"/>
              </w:rPr>
              <w:t>序号</w:t>
            </w:r>
          </w:p>
        </w:tc>
        <w:tc>
          <w:tcPr>
            <w:tcW w:type="dxa" w:w="1814"/>
            <w:shd w:fill="24364B"/>
            <w:tcMar>
              <w:top w:w="90" w:type="dxa"/>
              <w:start w:w="100" w:type="dxa"/>
              <w:bottom w:w="90" w:type="dxa"/>
              <w:end w:w="100" w:type="dxa"/>
            </w:tcMar>
            <w:vAlign w:val="center"/>
          </w:tcPr>
          <w:p>
            <w:pPr>
              <w:jc w:val="center"/>
            </w:pPr>
            <w:r>
              <w:rPr>
                <w:rFonts w:ascii="Microsoft YaHei" w:hAnsi="Microsoft YaHei" w:eastAsia="Microsoft YaHei"/>
                <w:b/>
                <w:color w:val="FFFFFF"/>
                <w:sz w:val="18"/>
              </w:rPr>
              <w:t>判定</w:t>
            </w:r>
          </w:p>
        </w:tc>
        <w:tc>
          <w:tcPr>
            <w:tcW w:type="dxa" w:w="7030"/>
            <w:shd w:fill="24364B"/>
            <w:tcMar>
              <w:top w:w="90" w:type="dxa"/>
              <w:start w:w="100" w:type="dxa"/>
              <w:bottom w:w="90" w:type="dxa"/>
              <w:end w:w="100" w:type="dxa"/>
            </w:tcMar>
            <w:vAlign w:val="center"/>
          </w:tcPr>
          <w:p>
            <w:pPr>
              <w:jc w:val="center"/>
            </w:pPr>
            <w:r>
              <w:rPr>
                <w:rFonts w:ascii="Microsoft YaHei" w:hAnsi="Microsoft YaHei" w:eastAsia="Microsoft YaHei"/>
                <w:b/>
                <w:color w:val="FFFFFF"/>
                <w:sz w:val="18"/>
              </w:rPr>
              <w:t>简要结论</w:t>
            </w:r>
          </w:p>
        </w:tc>
      </w:tr>
      <w:tr>
        <w:trPr>
          <w:cantSplit/>
        </w:trPr>
        <w:tc>
          <w:tcPr>
            <w:tcW w:type="dxa" w:w="623"/>
            <w:tcMar>
              <w:top w:w="80" w:type="dxa"/>
              <w:start w:w="100" w:type="dxa"/>
              <w:bottom w:w="80" w:type="dxa"/>
              <w:end w:w="100" w:type="dxa"/>
            </w:tcMar>
            <w:vAlign w:val="center"/>
          </w:tcPr>
          <w:p>
            <w:pPr>
              <w:spacing w:after="0" w:line="269" w:lineRule="auto"/>
              <w:jc w:val="center"/>
            </w:pPr>
            <w:r>
              <w:rPr>
                <w:rFonts w:ascii="SimSun" w:hAnsi="SimSun" w:eastAsia="SimSun"/>
                <w:b w:val="0"/>
                <w:color w:val="000000"/>
                <w:sz w:val="18"/>
              </w:rPr>
              <w:t>1</w:t>
            </w:r>
          </w:p>
        </w:tc>
        <w:tc>
          <w:tcPr>
            <w:tcW w:type="dxa" w:w="1814"/>
            <w:tcMar>
              <w:top w:w="80" w:type="dxa"/>
              <w:start w:w="100" w:type="dxa"/>
              <w:bottom w:w="80" w:type="dxa"/>
              <w:end w:w="100" w:type="dxa"/>
            </w:tcMar>
            <w:vAlign w:val="center"/>
          </w:tcPr>
          <w:p>
            <w:pPr>
              <w:spacing w:after="0" w:line="269" w:lineRule="auto"/>
              <w:jc w:val="center"/>
            </w:pPr>
            <w:r>
              <w:rPr>
                <w:rFonts w:ascii="SimSun" w:hAnsi="SimSun" w:eastAsia="SimSun"/>
                <w:b/>
                <w:color w:val="9E2A2B"/>
                <w:sz w:val="18"/>
              </w:rPr>
              <w:t>成立</w:t>
            </w:r>
          </w:p>
        </w:tc>
        <w:tc>
          <w:tcPr>
            <w:tcW w:type="dxa" w:w="7030"/>
            <w:tcMar>
              <w:top w:w="80" w:type="dxa"/>
              <w:start w:w="100" w:type="dxa"/>
              <w:bottom w:w="80" w:type="dxa"/>
              <w:end w:w="100" w:type="dxa"/>
            </w:tcMar>
            <w:vAlign w:val="center"/>
          </w:tcPr>
          <w:p>
            <w:pPr>
              <w:spacing w:after="0" w:line="269" w:lineRule="auto"/>
              <w:jc w:val="left"/>
            </w:pPr>
            <w:r>
              <w:rPr>
                <w:rFonts w:ascii="SimSun" w:hAnsi="SimSun" w:eastAsia="SimSun"/>
                <w:b w:val="0"/>
                <w:color w:val="000000"/>
                <w:sz w:val="18"/>
              </w:rPr>
              <w:t>图 1 嵌图遮挡主图检测点，且不是保留原射线和颜色的忠实放大。</w:t>
            </w:r>
          </w:p>
        </w:tc>
      </w:tr>
      <w:tr>
        <w:trPr>
          <w:cantSplit/>
        </w:trPr>
        <w:tc>
          <w:tcPr>
            <w:tcW w:type="dxa" w:w="623"/>
            <w:tcMar>
              <w:top w:w="80" w:type="dxa"/>
              <w:start w:w="100" w:type="dxa"/>
              <w:bottom w:w="80" w:type="dxa"/>
              <w:end w:w="100" w:type="dxa"/>
            </w:tcMar>
            <w:shd w:fill="F5F6F7"/>
            <w:vAlign w:val="center"/>
          </w:tcPr>
          <w:p>
            <w:pPr>
              <w:spacing w:after="0" w:line="269" w:lineRule="auto"/>
              <w:jc w:val="center"/>
            </w:pPr>
            <w:r>
              <w:rPr>
                <w:rFonts w:ascii="SimSun" w:hAnsi="SimSun" w:eastAsia="SimSun"/>
                <w:b w:val="0"/>
                <w:color w:val="000000"/>
                <w:sz w:val="18"/>
              </w:rPr>
              <w:t>2</w:t>
            </w:r>
          </w:p>
        </w:tc>
        <w:tc>
          <w:tcPr>
            <w:tcW w:type="dxa" w:w="1814"/>
            <w:tcMar>
              <w:top w:w="80" w:type="dxa"/>
              <w:start w:w="100" w:type="dxa"/>
              <w:bottom w:w="80" w:type="dxa"/>
              <w:end w:w="100" w:type="dxa"/>
            </w:tcMar>
            <w:shd w:fill="F5F6F7"/>
            <w:vAlign w:val="center"/>
          </w:tcPr>
          <w:p>
            <w:pPr>
              <w:spacing w:after="0" w:line="269" w:lineRule="auto"/>
              <w:jc w:val="center"/>
            </w:pPr>
            <w:r>
              <w:rPr>
                <w:rFonts w:ascii="SimSun" w:hAnsi="SimSun" w:eastAsia="SimSun"/>
                <w:b/>
                <w:color w:val="000000"/>
                <w:sz w:val="18"/>
              </w:rPr>
              <w:t>部分成立</w:t>
            </w:r>
          </w:p>
        </w:tc>
        <w:tc>
          <w:tcPr>
            <w:tcW w:type="dxa" w:w="7030"/>
            <w:tcMar>
              <w:top w:w="80" w:type="dxa"/>
              <w:start w:w="100" w:type="dxa"/>
              <w:bottom w:w="80" w:type="dxa"/>
              <w:end w:w="100" w:type="dxa"/>
            </w:tcMar>
            <w:shd w:fill="F5F6F7"/>
            <w:vAlign w:val="center"/>
          </w:tcPr>
          <w:p>
            <w:pPr>
              <w:spacing w:after="0" w:line="269" w:lineRule="auto"/>
              <w:jc w:val="left"/>
            </w:pPr>
            <w:r>
              <w:rPr>
                <w:rFonts w:ascii="SimSun" w:hAnsi="SimSun" w:eastAsia="SimSun"/>
                <w:b w:val="0"/>
                <w:color w:val="000000"/>
                <w:sz w:val="18"/>
              </w:rPr>
              <w:t>前文已说明为半平面，但复杂度句应就地写明来自 m 个角楔的 2m 个闭半平面。</w:t>
            </w:r>
          </w:p>
        </w:tc>
      </w:tr>
      <w:tr>
        <w:trPr>
          <w:cantSplit/>
        </w:trPr>
        <w:tc>
          <w:tcPr>
            <w:tcW w:type="dxa" w:w="623"/>
            <w:tcMar>
              <w:top w:w="80" w:type="dxa"/>
              <w:start w:w="100" w:type="dxa"/>
              <w:bottom w:w="80" w:type="dxa"/>
              <w:end w:w="100" w:type="dxa"/>
            </w:tcMar>
            <w:vAlign w:val="center"/>
          </w:tcPr>
          <w:p>
            <w:pPr>
              <w:spacing w:after="0" w:line="269" w:lineRule="auto"/>
              <w:jc w:val="center"/>
            </w:pPr>
            <w:r>
              <w:rPr>
                <w:rFonts w:ascii="SimSun" w:hAnsi="SimSun" w:eastAsia="SimSun"/>
                <w:b w:val="0"/>
                <w:color w:val="000000"/>
                <w:sz w:val="18"/>
              </w:rPr>
              <w:t>3</w:t>
            </w:r>
          </w:p>
        </w:tc>
        <w:tc>
          <w:tcPr>
            <w:tcW w:type="dxa" w:w="1814"/>
            <w:tcMar>
              <w:top w:w="80" w:type="dxa"/>
              <w:start w:w="100" w:type="dxa"/>
              <w:bottom w:w="80" w:type="dxa"/>
              <w:end w:w="100" w:type="dxa"/>
            </w:tcMar>
            <w:vAlign w:val="center"/>
          </w:tcPr>
          <w:p>
            <w:pPr>
              <w:spacing w:after="0" w:line="269" w:lineRule="auto"/>
              <w:jc w:val="center"/>
            </w:pPr>
            <w:r>
              <w:rPr>
                <w:rFonts w:ascii="SimSun" w:hAnsi="SimSun" w:eastAsia="SimSun"/>
                <w:b/>
                <w:color w:val="9E2A2B"/>
                <w:sz w:val="18"/>
              </w:rPr>
              <w:t>成立</w:t>
            </w:r>
          </w:p>
        </w:tc>
        <w:tc>
          <w:tcPr>
            <w:tcW w:type="dxa" w:w="7030"/>
            <w:tcMar>
              <w:top w:w="80" w:type="dxa"/>
              <w:start w:w="100" w:type="dxa"/>
              <w:bottom w:w="80" w:type="dxa"/>
              <w:end w:w="100" w:type="dxa"/>
            </w:tcMar>
            <w:vAlign w:val="center"/>
          </w:tcPr>
          <w:p>
            <w:pPr>
              <w:spacing w:after="0" w:line="269" w:lineRule="auto"/>
              <w:jc w:val="left"/>
            </w:pPr>
            <w:r>
              <w:rPr>
                <w:rFonts w:ascii="SimSun" w:hAnsi="SimSun" w:eastAsia="SimSun"/>
                <w:b w:val="0"/>
                <w:color w:val="000000"/>
                <w:sz w:val="18"/>
              </w:rPr>
              <w:t>表 3 表注两端对齐造成中文字距显著拉伸。</w:t>
            </w:r>
          </w:p>
        </w:tc>
      </w:tr>
      <w:tr>
        <w:trPr>
          <w:cantSplit/>
        </w:trPr>
        <w:tc>
          <w:tcPr>
            <w:tcW w:type="dxa" w:w="623"/>
            <w:tcMar>
              <w:top w:w="80" w:type="dxa"/>
              <w:start w:w="100" w:type="dxa"/>
              <w:bottom w:w="80" w:type="dxa"/>
              <w:end w:w="100" w:type="dxa"/>
            </w:tcMar>
            <w:shd w:fill="F5F6F7"/>
            <w:vAlign w:val="center"/>
          </w:tcPr>
          <w:p>
            <w:pPr>
              <w:spacing w:after="0" w:line="269" w:lineRule="auto"/>
              <w:jc w:val="center"/>
            </w:pPr>
            <w:r>
              <w:rPr>
                <w:rFonts w:ascii="SimSun" w:hAnsi="SimSun" w:eastAsia="SimSun"/>
                <w:b w:val="0"/>
                <w:color w:val="000000"/>
                <w:sz w:val="18"/>
              </w:rPr>
              <w:t>4</w:t>
            </w:r>
          </w:p>
        </w:tc>
        <w:tc>
          <w:tcPr>
            <w:tcW w:type="dxa" w:w="1814"/>
            <w:tcMar>
              <w:top w:w="80" w:type="dxa"/>
              <w:start w:w="100" w:type="dxa"/>
              <w:bottom w:w="80" w:type="dxa"/>
              <w:end w:w="100" w:type="dxa"/>
            </w:tcMar>
            <w:shd w:fill="F5F6F7"/>
            <w:vAlign w:val="center"/>
          </w:tcPr>
          <w:p>
            <w:pPr>
              <w:spacing w:after="0" w:line="269" w:lineRule="auto"/>
              <w:jc w:val="center"/>
            </w:pPr>
            <w:r>
              <w:rPr>
                <w:rFonts w:ascii="SimSun" w:hAnsi="SimSun" w:eastAsia="SimSun"/>
                <w:b/>
                <w:color w:val="9E2A2B"/>
                <w:sz w:val="18"/>
              </w:rPr>
              <w:t>成立</w:t>
            </w:r>
          </w:p>
        </w:tc>
        <w:tc>
          <w:tcPr>
            <w:tcW w:type="dxa" w:w="7030"/>
            <w:tcMar>
              <w:top w:w="80" w:type="dxa"/>
              <w:start w:w="100" w:type="dxa"/>
              <w:bottom w:w="80" w:type="dxa"/>
              <w:end w:w="100" w:type="dxa"/>
            </w:tcMar>
            <w:shd w:fill="F5F6F7"/>
            <w:vAlign w:val="center"/>
          </w:tcPr>
          <w:p>
            <w:pPr>
              <w:spacing w:after="0" w:line="269" w:lineRule="auto"/>
              <w:jc w:val="left"/>
            </w:pPr>
            <w:r>
              <w:rPr>
                <w:rFonts w:ascii="SimSun" w:hAnsi="SimSun" w:eastAsia="SimSun"/>
                <w:b w:val="0"/>
                <w:color w:val="000000"/>
                <w:sz w:val="18"/>
              </w:rPr>
              <w:t>第 2.2 节有原则性铺垫，但 5.2.1 仍未解释直径及期望各自代表的决策含义。</w:t>
            </w:r>
          </w:p>
        </w:tc>
      </w:tr>
      <w:tr>
        <w:trPr>
          <w:cantSplit/>
        </w:trPr>
        <w:tc>
          <w:tcPr>
            <w:tcW w:type="dxa" w:w="623"/>
            <w:tcMar>
              <w:top w:w="80" w:type="dxa"/>
              <w:start w:w="100" w:type="dxa"/>
              <w:bottom w:w="80" w:type="dxa"/>
              <w:end w:w="100" w:type="dxa"/>
            </w:tcMar>
            <w:vAlign w:val="center"/>
          </w:tcPr>
          <w:p>
            <w:pPr>
              <w:spacing w:after="0" w:line="269" w:lineRule="auto"/>
              <w:jc w:val="center"/>
            </w:pPr>
            <w:r>
              <w:rPr>
                <w:rFonts w:ascii="SimSun" w:hAnsi="SimSun" w:eastAsia="SimSun"/>
                <w:b w:val="0"/>
                <w:color w:val="000000"/>
                <w:sz w:val="18"/>
              </w:rPr>
              <w:t>5</w:t>
            </w:r>
          </w:p>
        </w:tc>
        <w:tc>
          <w:tcPr>
            <w:tcW w:type="dxa" w:w="1814"/>
            <w:tcMar>
              <w:top w:w="80" w:type="dxa"/>
              <w:start w:w="100" w:type="dxa"/>
              <w:bottom w:w="80" w:type="dxa"/>
              <w:end w:w="100" w:type="dxa"/>
            </w:tcMar>
            <w:vAlign w:val="center"/>
          </w:tcPr>
          <w:p>
            <w:pPr>
              <w:spacing w:after="0" w:line="269" w:lineRule="auto"/>
              <w:jc w:val="center"/>
            </w:pPr>
            <w:r>
              <w:rPr>
                <w:rFonts w:ascii="SimSun" w:hAnsi="SimSun" w:eastAsia="SimSun"/>
                <w:b/>
                <w:color w:val="000000"/>
                <w:sz w:val="18"/>
              </w:rPr>
              <w:t>部分成立</w:t>
            </w:r>
          </w:p>
        </w:tc>
        <w:tc>
          <w:tcPr>
            <w:tcW w:type="dxa" w:w="7030"/>
            <w:tcMar>
              <w:top w:w="80" w:type="dxa"/>
              <w:start w:w="100" w:type="dxa"/>
              <w:bottom w:w="80" w:type="dxa"/>
              <w:end w:w="100" w:type="dxa"/>
            </w:tcMar>
            <w:vAlign w:val="center"/>
          </w:tcPr>
          <w:p>
            <w:pPr>
              <w:spacing w:after="0" w:line="269" w:lineRule="auto"/>
              <w:jc w:val="left"/>
            </w:pPr>
            <w:r>
              <w:rPr>
                <w:rFonts w:ascii="SimSun" w:hAnsi="SimSun" w:eastAsia="SimSun"/>
                <w:b w:val="0"/>
                <w:color w:val="000000"/>
                <w:sz w:val="18"/>
              </w:rPr>
              <w:t>R 与 r₂T 本来是不同距离，不应统一；问题是图示和局部定义不足。</w:t>
            </w:r>
          </w:p>
        </w:tc>
      </w:tr>
      <w:tr>
        <w:trPr>
          <w:cantSplit/>
        </w:trPr>
        <w:tc>
          <w:tcPr>
            <w:tcW w:type="dxa" w:w="623"/>
            <w:tcMar>
              <w:top w:w="80" w:type="dxa"/>
              <w:start w:w="100" w:type="dxa"/>
              <w:bottom w:w="80" w:type="dxa"/>
              <w:end w:w="100" w:type="dxa"/>
            </w:tcMar>
            <w:shd w:fill="F5F6F7"/>
            <w:vAlign w:val="center"/>
          </w:tcPr>
          <w:p>
            <w:pPr>
              <w:spacing w:after="0" w:line="269" w:lineRule="auto"/>
              <w:jc w:val="center"/>
            </w:pPr>
            <w:r>
              <w:rPr>
                <w:rFonts w:ascii="SimSun" w:hAnsi="SimSun" w:eastAsia="SimSun"/>
                <w:b w:val="0"/>
                <w:color w:val="000000"/>
                <w:sz w:val="18"/>
              </w:rPr>
              <w:t>6</w:t>
            </w:r>
          </w:p>
        </w:tc>
        <w:tc>
          <w:tcPr>
            <w:tcW w:type="dxa" w:w="1814"/>
            <w:tcMar>
              <w:top w:w="80" w:type="dxa"/>
              <w:start w:w="100" w:type="dxa"/>
              <w:bottom w:w="80" w:type="dxa"/>
              <w:end w:w="100" w:type="dxa"/>
            </w:tcMar>
            <w:shd w:fill="F5F6F7"/>
            <w:vAlign w:val="center"/>
          </w:tcPr>
          <w:p>
            <w:pPr>
              <w:spacing w:after="0" w:line="269" w:lineRule="auto"/>
              <w:jc w:val="center"/>
            </w:pPr>
            <w:r>
              <w:rPr>
                <w:rFonts w:ascii="SimSun" w:hAnsi="SimSun" w:eastAsia="SimSun"/>
                <w:b/>
                <w:color w:val="000000"/>
                <w:sz w:val="18"/>
              </w:rPr>
              <w:t>部分成立</w:t>
            </w:r>
          </w:p>
        </w:tc>
        <w:tc>
          <w:tcPr>
            <w:tcW w:type="dxa" w:w="7030"/>
            <w:tcMar>
              <w:top w:w="80" w:type="dxa"/>
              <w:start w:w="100" w:type="dxa"/>
              <w:bottom w:w="80" w:type="dxa"/>
              <w:end w:w="100" w:type="dxa"/>
            </w:tcMar>
            <w:shd w:fill="F5F6F7"/>
            <w:vAlign w:val="center"/>
          </w:tcPr>
          <w:p>
            <w:pPr>
              <w:spacing w:after="0" w:line="269" w:lineRule="auto"/>
              <w:jc w:val="left"/>
            </w:pPr>
            <w:r>
              <w:rPr>
                <w:rFonts w:ascii="SimSun" w:hAnsi="SimSun" w:eastAsia="SimSun"/>
                <w:b w:val="0"/>
                <w:color w:val="000000"/>
                <w:sz w:val="18"/>
              </w:rPr>
              <w:t>微小量可作浮点保护，但不应混入物理误差半宽，且 Q3、Q4 数量级不一致。</w:t>
            </w:r>
          </w:p>
        </w:tc>
      </w:tr>
      <w:tr>
        <w:trPr>
          <w:cantSplit/>
        </w:trPr>
        <w:tc>
          <w:tcPr>
            <w:tcW w:type="dxa" w:w="623"/>
            <w:tcMar>
              <w:top w:w="80" w:type="dxa"/>
              <w:start w:w="100" w:type="dxa"/>
              <w:bottom w:w="80" w:type="dxa"/>
              <w:end w:w="100" w:type="dxa"/>
            </w:tcMar>
            <w:vAlign w:val="center"/>
          </w:tcPr>
          <w:p>
            <w:pPr>
              <w:spacing w:after="0" w:line="269" w:lineRule="auto"/>
              <w:jc w:val="center"/>
            </w:pPr>
            <w:r>
              <w:rPr>
                <w:rFonts w:ascii="SimSun" w:hAnsi="SimSun" w:eastAsia="SimSun"/>
                <w:b w:val="0"/>
                <w:color w:val="000000"/>
                <w:sz w:val="18"/>
              </w:rPr>
              <w:t>7</w:t>
            </w:r>
          </w:p>
        </w:tc>
        <w:tc>
          <w:tcPr>
            <w:tcW w:type="dxa" w:w="1814"/>
            <w:tcMar>
              <w:top w:w="80" w:type="dxa"/>
              <w:start w:w="100" w:type="dxa"/>
              <w:bottom w:w="80" w:type="dxa"/>
              <w:end w:w="100" w:type="dxa"/>
            </w:tcMar>
            <w:vAlign w:val="center"/>
          </w:tcPr>
          <w:p>
            <w:pPr>
              <w:spacing w:after="0" w:line="269" w:lineRule="auto"/>
              <w:jc w:val="center"/>
            </w:pPr>
            <w:r>
              <w:rPr>
                <w:rFonts w:ascii="SimSun" w:hAnsi="SimSun" w:eastAsia="SimSun"/>
                <w:b/>
                <w:color w:val="9E2A2B"/>
                <w:sz w:val="18"/>
              </w:rPr>
              <w:t>成立</w:t>
            </w:r>
          </w:p>
        </w:tc>
        <w:tc>
          <w:tcPr>
            <w:tcW w:type="dxa" w:w="7030"/>
            <w:tcMar>
              <w:top w:w="80" w:type="dxa"/>
              <w:start w:w="100" w:type="dxa"/>
              <w:bottom w:w="80" w:type="dxa"/>
              <w:end w:w="100" w:type="dxa"/>
            </w:tcMar>
            <w:vAlign w:val="center"/>
          </w:tcPr>
          <w:p>
            <w:pPr>
              <w:spacing w:after="0" w:line="269" w:lineRule="auto"/>
              <w:jc w:val="left"/>
            </w:pPr>
            <w:r>
              <w:rPr>
                <w:rFonts w:ascii="SimSun" w:hAnsi="SimSun" w:eastAsia="SimSun"/>
                <w:b w:val="0"/>
                <w:color w:val="000000"/>
                <w:sz w:val="18"/>
              </w:rPr>
              <w:t>Wᵢ 和估计中心缺少直观或算法定义；同类复杂定义应补一句解释。</w:t>
            </w:r>
          </w:p>
        </w:tc>
      </w:tr>
      <w:tr>
        <w:trPr>
          <w:cantSplit/>
        </w:trPr>
        <w:tc>
          <w:tcPr>
            <w:tcW w:type="dxa" w:w="623"/>
            <w:tcMar>
              <w:top w:w="80" w:type="dxa"/>
              <w:start w:w="100" w:type="dxa"/>
              <w:bottom w:w="80" w:type="dxa"/>
              <w:end w:w="100" w:type="dxa"/>
            </w:tcMar>
            <w:shd w:fill="F5F6F7"/>
            <w:vAlign w:val="center"/>
          </w:tcPr>
          <w:p>
            <w:pPr>
              <w:spacing w:after="0" w:line="269" w:lineRule="auto"/>
              <w:jc w:val="center"/>
            </w:pPr>
            <w:r>
              <w:rPr>
                <w:rFonts w:ascii="SimSun" w:hAnsi="SimSun" w:eastAsia="SimSun"/>
                <w:b w:val="0"/>
                <w:color w:val="000000"/>
                <w:sz w:val="18"/>
              </w:rPr>
              <w:t>8</w:t>
            </w:r>
          </w:p>
        </w:tc>
        <w:tc>
          <w:tcPr>
            <w:tcW w:type="dxa" w:w="1814"/>
            <w:tcMar>
              <w:top w:w="80" w:type="dxa"/>
              <w:start w:w="100" w:type="dxa"/>
              <w:bottom w:w="80" w:type="dxa"/>
              <w:end w:w="100" w:type="dxa"/>
            </w:tcMar>
            <w:shd w:fill="F5F6F7"/>
            <w:vAlign w:val="center"/>
          </w:tcPr>
          <w:p>
            <w:pPr>
              <w:spacing w:after="0" w:line="269" w:lineRule="auto"/>
              <w:jc w:val="center"/>
            </w:pPr>
            <w:r>
              <w:rPr>
                <w:rFonts w:ascii="SimSun" w:hAnsi="SimSun" w:eastAsia="SimSun"/>
                <w:b/>
                <w:color w:val="9E2A2B"/>
                <w:sz w:val="18"/>
              </w:rPr>
              <w:t>成立</w:t>
            </w:r>
          </w:p>
        </w:tc>
        <w:tc>
          <w:tcPr>
            <w:tcW w:type="dxa" w:w="7030"/>
            <w:tcMar>
              <w:top w:w="80" w:type="dxa"/>
              <w:start w:w="100" w:type="dxa"/>
              <w:bottom w:w="80" w:type="dxa"/>
              <w:end w:w="100" w:type="dxa"/>
            </w:tcMar>
            <w:shd w:fill="F5F6F7"/>
            <w:vAlign w:val="center"/>
          </w:tcPr>
          <w:p>
            <w:pPr>
              <w:spacing w:after="0" w:line="269" w:lineRule="auto"/>
              <w:jc w:val="left"/>
            </w:pPr>
            <w:r>
              <w:rPr>
                <w:rFonts w:ascii="SimSun" w:hAnsi="SimSun" w:eastAsia="SimSun"/>
                <w:b w:val="0"/>
                <w:color w:val="000000"/>
                <w:sz w:val="18"/>
              </w:rPr>
              <w:t>实际动作是到估计中心执行一次清除，失败后补测，“试探中心”没有说清动作。</w:t>
            </w:r>
          </w:p>
        </w:tc>
      </w:tr>
      <w:tr>
        <w:trPr>
          <w:cantSplit/>
        </w:trPr>
        <w:tc>
          <w:tcPr>
            <w:tcW w:type="dxa" w:w="623"/>
            <w:tcMar>
              <w:top w:w="80" w:type="dxa"/>
              <w:start w:w="100" w:type="dxa"/>
              <w:bottom w:w="80" w:type="dxa"/>
              <w:end w:w="100" w:type="dxa"/>
            </w:tcMar>
            <w:vAlign w:val="center"/>
          </w:tcPr>
          <w:p>
            <w:pPr>
              <w:spacing w:after="0" w:line="269" w:lineRule="auto"/>
              <w:jc w:val="center"/>
            </w:pPr>
            <w:r>
              <w:rPr>
                <w:rFonts w:ascii="SimSun" w:hAnsi="SimSun" w:eastAsia="SimSun"/>
                <w:b w:val="0"/>
                <w:color w:val="000000"/>
                <w:sz w:val="18"/>
              </w:rPr>
              <w:t>9</w:t>
            </w:r>
          </w:p>
        </w:tc>
        <w:tc>
          <w:tcPr>
            <w:tcW w:type="dxa" w:w="1814"/>
            <w:tcMar>
              <w:top w:w="80" w:type="dxa"/>
              <w:start w:w="100" w:type="dxa"/>
              <w:bottom w:w="80" w:type="dxa"/>
              <w:end w:w="100" w:type="dxa"/>
            </w:tcMar>
            <w:vAlign w:val="center"/>
          </w:tcPr>
          <w:p>
            <w:pPr>
              <w:spacing w:after="0" w:line="269" w:lineRule="auto"/>
              <w:jc w:val="center"/>
            </w:pPr>
            <w:r>
              <w:rPr>
                <w:rFonts w:ascii="SimSun" w:hAnsi="SimSun" w:eastAsia="SimSun"/>
                <w:b/>
                <w:color w:val="000000"/>
                <w:sz w:val="18"/>
              </w:rPr>
              <w:t>部分成立</w:t>
            </w:r>
          </w:p>
        </w:tc>
        <w:tc>
          <w:tcPr>
            <w:tcW w:type="dxa" w:w="7030"/>
            <w:tcMar>
              <w:top w:w="80" w:type="dxa"/>
              <w:start w:w="100" w:type="dxa"/>
              <w:bottom w:w="80" w:type="dxa"/>
              <w:end w:w="100" w:type="dxa"/>
            </w:tcMar>
            <w:vAlign w:val="center"/>
          </w:tcPr>
          <w:p>
            <w:pPr>
              <w:spacing w:after="0" w:line="269" w:lineRule="auto"/>
              <w:jc w:val="left"/>
            </w:pPr>
            <w:r>
              <w:rPr>
                <w:rFonts w:ascii="SimSun" w:hAnsi="SimSun" w:eastAsia="SimSun"/>
                <w:b w:val="0"/>
                <w:color w:val="000000"/>
                <w:sz w:val="18"/>
              </w:rPr>
              <w:t>当前图 13 在第 26 页且与式（49）至（52）有关；联系并非不存在，但自解释性偏弱。</w:t>
            </w:r>
          </w:p>
        </w:tc>
      </w:tr>
      <w:tr>
        <w:trPr>
          <w:cantSplit/>
        </w:trPr>
        <w:tc>
          <w:tcPr>
            <w:tcW w:type="dxa" w:w="623"/>
            <w:tcMar>
              <w:top w:w="80" w:type="dxa"/>
              <w:start w:w="100" w:type="dxa"/>
              <w:bottom w:w="80" w:type="dxa"/>
              <w:end w:w="100" w:type="dxa"/>
            </w:tcMar>
            <w:shd w:fill="F5F6F7"/>
            <w:vAlign w:val="center"/>
          </w:tcPr>
          <w:p>
            <w:pPr>
              <w:spacing w:after="0" w:line="269" w:lineRule="auto"/>
              <w:jc w:val="center"/>
            </w:pPr>
            <w:r>
              <w:rPr>
                <w:rFonts w:ascii="SimSun" w:hAnsi="SimSun" w:eastAsia="SimSun"/>
                <w:b w:val="0"/>
                <w:color w:val="000000"/>
                <w:sz w:val="18"/>
              </w:rPr>
              <w:t>10</w:t>
            </w:r>
          </w:p>
        </w:tc>
        <w:tc>
          <w:tcPr>
            <w:tcW w:type="dxa" w:w="1814"/>
            <w:tcMar>
              <w:top w:w="80" w:type="dxa"/>
              <w:start w:w="100" w:type="dxa"/>
              <w:bottom w:w="80" w:type="dxa"/>
              <w:end w:w="100" w:type="dxa"/>
            </w:tcMar>
            <w:shd w:fill="F5F6F7"/>
            <w:vAlign w:val="center"/>
          </w:tcPr>
          <w:p>
            <w:pPr>
              <w:spacing w:after="0" w:line="269" w:lineRule="auto"/>
              <w:jc w:val="center"/>
            </w:pPr>
            <w:r>
              <w:rPr>
                <w:rFonts w:ascii="SimSun" w:hAnsi="SimSun" w:eastAsia="SimSun"/>
                <w:b/>
                <w:color w:val="9E2A2B"/>
                <w:sz w:val="18"/>
              </w:rPr>
              <w:t>成立</w:t>
            </w:r>
          </w:p>
        </w:tc>
        <w:tc>
          <w:tcPr>
            <w:tcW w:type="dxa" w:w="7030"/>
            <w:tcMar>
              <w:top w:w="80" w:type="dxa"/>
              <w:start w:w="100" w:type="dxa"/>
              <w:bottom w:w="80" w:type="dxa"/>
              <w:end w:w="100" w:type="dxa"/>
            </w:tcMar>
            <w:shd w:fill="F5F6F7"/>
            <w:vAlign w:val="center"/>
          </w:tcPr>
          <w:p>
            <w:pPr>
              <w:spacing w:after="0" w:line="269" w:lineRule="auto"/>
              <w:jc w:val="left"/>
            </w:pPr>
            <w:r>
              <w:rPr>
                <w:rFonts w:ascii="SimSun" w:hAnsi="SimSun" w:eastAsia="SimSun"/>
                <w:b w:val="0"/>
                <w:color w:val="000000"/>
                <w:sz w:val="18"/>
              </w:rPr>
              <w:t>问题四多处先堆公式再解释，保证性约束与效率启发式也未充分分层。</w:t>
            </w:r>
          </w:p>
        </w:tc>
      </w:tr>
      <w:tr>
        <w:trPr>
          <w:cantSplit/>
        </w:trPr>
        <w:tc>
          <w:tcPr>
            <w:tcW w:type="dxa" w:w="623"/>
            <w:tcMar>
              <w:top w:w="80" w:type="dxa"/>
              <w:start w:w="100" w:type="dxa"/>
              <w:bottom w:w="80" w:type="dxa"/>
              <w:end w:w="100" w:type="dxa"/>
            </w:tcMar>
            <w:vAlign w:val="center"/>
          </w:tcPr>
          <w:p>
            <w:pPr>
              <w:spacing w:after="0" w:line="269" w:lineRule="auto"/>
              <w:jc w:val="center"/>
            </w:pPr>
            <w:r>
              <w:rPr>
                <w:rFonts w:ascii="SimSun" w:hAnsi="SimSun" w:eastAsia="SimSun"/>
                <w:b w:val="0"/>
                <w:color w:val="000000"/>
                <w:sz w:val="18"/>
              </w:rPr>
              <w:t>11</w:t>
            </w:r>
          </w:p>
        </w:tc>
        <w:tc>
          <w:tcPr>
            <w:tcW w:type="dxa" w:w="1814"/>
            <w:tcMar>
              <w:top w:w="80" w:type="dxa"/>
              <w:start w:w="100" w:type="dxa"/>
              <w:bottom w:w="80" w:type="dxa"/>
              <w:end w:w="100" w:type="dxa"/>
            </w:tcMar>
            <w:vAlign w:val="center"/>
          </w:tcPr>
          <w:p>
            <w:pPr>
              <w:spacing w:after="0" w:line="269" w:lineRule="auto"/>
              <w:jc w:val="center"/>
            </w:pPr>
            <w:r>
              <w:rPr>
                <w:rFonts w:ascii="SimSun" w:hAnsi="SimSun" w:eastAsia="SimSun"/>
                <w:b/>
                <w:color w:val="9E2A2B"/>
                <w:sz w:val="18"/>
              </w:rPr>
              <w:t>成立</w:t>
            </w:r>
          </w:p>
        </w:tc>
        <w:tc>
          <w:tcPr>
            <w:tcW w:type="dxa" w:w="7030"/>
            <w:tcMar>
              <w:top w:w="80" w:type="dxa"/>
              <w:start w:w="100" w:type="dxa"/>
              <w:bottom w:w="80" w:type="dxa"/>
              <w:end w:w="100" w:type="dxa"/>
            </w:tcMar>
            <w:vAlign w:val="center"/>
          </w:tcPr>
          <w:p>
            <w:pPr>
              <w:spacing w:after="0" w:line="269" w:lineRule="auto"/>
              <w:jc w:val="left"/>
            </w:pPr>
            <w:r>
              <w:rPr>
                <w:rFonts w:ascii="SimSun" w:hAnsi="SimSun" w:eastAsia="SimSun"/>
                <w:b w:val="0"/>
                <w:color w:val="000000"/>
                <w:sz w:val="18"/>
              </w:rPr>
              <w:t>fast 主动放弃全域证书，偏离题目硬目标；论文和附录中的实验展示应删除。</w:t>
            </w:r>
          </w:p>
        </w:tc>
      </w:tr>
    </w:tbl>
    <w:p>
      <w:pPr>
        <w:spacing w:after="20"/>
      </w:pP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1 图 1 的局部放大遮挡主图且信息被简化</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5 页，5.1.1“模型建立”，图 1；锚点“右下角的局部放大图中标出交点 V_i 和直径中点 M”。源：sections/05-model.tex:26-30；Q1/make_figures.py:105-132。</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成立。</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嵌图覆盖主图右下区域，使检测点 S₂=(700,-450) 及相应角楔信息不可见；嵌图只画红色交集和直径圆，没有保留蓝、橙、绿三组原始角楔、边界射线及方向。它更像重新绘制的结果图，而不是主图局部的忠实放大。</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将嵌图移到主坐标轴外或无数据空白处，或拆成并列子图；放大区域保留全部原色角楔和边界射线，用透明填充、加粗边界或纹理突出交集；用框线和连接线标出主图中的放大范围，并保证 S₁、S₂、S₃、T 均不被遮挡。</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2 O(m³) 复杂度句应明确 2m 个约束的来源</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7 页，5.1.2“模型求解算法”，第三步“求直径”；锚点“每个交点检验 2m 个约束”。源：sections/05-model.tex:89-93。</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部分成立。前一页第一步已写“全部 2m 个半平面判据”，所以不是全文缺失；但复杂度结论本句确实不够就地自洽。</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m 个角楔各由上下两条边界射线确定，并等价为两个闭半平面之交，因此总计 2m 个半平面不等式。每个候选交点必须同时满足这 2m 个不等式，单点筛选为 O(m)，乘以 O(m²) 个候选交点即得 O(m³)。</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将原句改成：“区域构造枚举 O(m²) 个边界直线交点；对每个交点逐一检验由 m 个角楔产生的 2m 个闭半平面不等式，单点检验为 O(m)，故直接实现总体为 O(m³)。”</w:t>
      </w:r>
    </w:p>
    <w:p>
      <w:pPr>
        <w:pStyle w:val="Finding"/>
      </w:pPr>
      <w:r>
        <w:rPr>
          <w:rFonts w:ascii="Microsoft YaHei" w:hAnsi="Microsoft YaHei" w:eastAsia="Microsoft YaHei"/>
          <w:b/>
          <w:color w:val="24364B"/>
          <w:sz w:val="21"/>
        </w:rPr>
        <w:t xml:space="preserve">[P3] </w:t>
      </w:r>
      <w:r>
        <w:rPr>
          <w:rFonts w:ascii="Microsoft YaHei" w:hAnsi="Microsoft YaHei" w:eastAsia="Microsoft YaHei"/>
          <w:b/>
          <w:color w:val="000000"/>
          <w:sz w:val="21"/>
        </w:rPr>
        <w:t>3 表 3 下方表注字距过大</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8 页，5.1.3“求解结果与分析”，表 3 下方“注：理想构型指……”。源：sections/05-model.tex:147-165，重点为表注段。</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成立。</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表注直接以小字号正文置于浮动体中，较长行采用两端对齐，中文字间被强行拉伸；表注宽度和表体也没有形成稳定的视觉整体。问题主要是字距和对齐方式，不只是行距。</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用 threeparttable/tablenotes，或与表体同宽的 minipage/parbox；表注采用左对齐或 RaggedRight、局部单倍行距、自然字距，避免使用全局 centering 影响表注。</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4 5.2.1 未充分说明为何以期望直径为价值函数</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8-9 页，5.2.1“模型建立”，式（8）后；锚点“E[D](a,b) 越小……定位平均效果越好”。源：sections/05-model.tex:194-203；前置概述见 sections/02-analysis.tex:21-29。</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成立，但第 2.2 节已有较泛的前置说明。</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现有文字只重复“越小越好”，没有说明：直径是可行域内任意两候选源位的最大分离，代表最坏方向的位置不确定尺度；它直接承接问题一的评价量；取期望是在布点前对未知源位和观测结果求风险中性的平均损失。也没有提醒期望不能控制尾部或保证一次清除。</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在式（8）前后补 2-3 句上述解释，并说明选择期望而非面积、最大直径或清除成功概率的取舍。若论文保留 60 m 阈值，应另外报告分位数或清除半径相关概率，不能只靠均值。</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5 图 4 中 R 与 r₂T 的关系没有讲清</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9-10 页，5.2.2(a)(b)，图 4及式（12）；锚点“S₂ 距 S₁ 的距离 R”和“r₂T=√((x_T-a)²+b²)”。源：sections/05-model.tex:211-213、250-265、302-303。</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部分成立。R=|S₁S₂| 与 r₂T=|S₂T| 是不同线段，并非前后同一变量写法不一致；问题在于图和正文的局部定义不充分。</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图中突出标了后续几乎不用的 R，却没有标推导核心量 r₂T；r₂T 虽在式（12）中由公式定义，但文字“即 |S₂T|”迟至式（16）后出现，读者容易误以为符号替换或笔误。</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在式（12）前直接写“令 R=|S₁S₂|，r₂T=|S₂T|”，图中分别标在相应线段上；若 R 不参与后续推导，删去图中 R 及近似条件中的该记号，直接说“第二测点与第一测点不能过近”。</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6 将 10⁻⁹ 或 10⁻⁸ 直接加到角宽中不规范</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15 页，5.3.1(b)，式（24）前 η=(1.005+10⁻⁹)°；第 24 页，5.4.2(b)，式（47）后为 (1.005+10⁻⁸)°。源：q3-model.tex:25；q4-model.tex:107；附录参数表 q3-appendix.tex:23、q4-appendix.tex:11。</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部分成立。10⁻⁹/10⁻⁸ 可作为避免边界误判的数值保护量，并非绝对没有意义；但它没有物理或统计意义，不应混入模型参数，且两问取值不一致、正文未解释。</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0.005° 已覆盖两位小数读数的最大舍入误差。额外 10⁻⁹° 在 1500 m 上对应约 2.6×10⁻⁸ m 横向量级，只可能属于浮点判定。其他类似量需分类：第 7 页 τ=10⁻⁹ m 已明确说明为覆盖判定容差，可保留但最好尺度化；第 15 页 δ_r=10⁻⁶ m 和第 18 页步长余量 10⁻⁸ 应说明目的、量纲及取值依据。</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理论正文统一写 η=1.005°。实现层另设数值容差 τ_num，说明它用于半平面边界比较，并在 Q3/Q4 统一数量级或采用与坐标尺度相关的相对加绝对容差。把“物理余量、读数舍入余量、浮点容差”分成三层。</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7 Wᵢ 及相关复杂定义缺少文字释义</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15 页，5.3.1(b)，式（24）及式（25）后；锚点“得到 W_i”和“相对估计中心 x̂_c”。源：q3-model.tex:25-35。</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成立。</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式（24）给出两个叉积不等式，但没有说它们分别保留哪一侧、交集是什么；式（25）后直接使用 x̂_c 和 r_c，却未说明 x̂_c 如何从观测取得，“相对估计中心”也疑为措辞错误。复杂集合虽可形式化定义，但缺少一句几何或算法解释会显著降低可读性。</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式（24）后补：“两不等式分别保留下边界射线左侧和上边界射线右侧的点，其交为以 S_i 为顶点、θ_i 为中心方向、半宽 η 的闭角楔。”随后明确 x̂_c 是何种中心或后验估计，负观测如何只改变中心而不缩小外包，以及每次改变中心后如何重算 r_c。全文对复杂集合采用“公式后一行说明对象、作用和保证”的写法。</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8 “试探中心”没有描述实际动作</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18 页，5.3.2(e)，图 8 后；锚点“r_c≤400 m 时允许试探中心”。源：q3-model.tex:142；q3-appendix.tex:33；实际动作见 Q3/code/p3_joint.py:32-44。Q4 同类措辞见 q4-model.tex:131。</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成立。</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实际流程不是抽象地“试探一个中心”，而是机器狗移动到估计中心 x̂_c，调用一次清除指令；若清除失败，再在当前位置测量并继续定位。原措辞没有交代移动、清除尝试、失败耗时和后续状态。</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改成：“当已有至少两条方位且 r_c≤400 m 时，机器狗先移动至估计中心 x̂_c 并执行一次光学定位与清除；若失败，则在该点补测并继续更新定位区域。”Q4 的“试清除中心”同步统一，并注明仅 r_c≤20 m 时具有确定性成功保证。</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9 图 13 的页码和“完全无联系”判断需校正，但图仍需增强</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26 页，5.4.2(c)后，图 13；不是当前第 28 页。锚点“图 13 中，双侧负观测只在（49）成立时截断远端……”。源：q4-model.tex:150-154。</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部分成立。当前版本已有正文联系：三幅子图分别对应式（49）-（50）的双负截断、式（52）的后验估价和式（51）的清除网格覆盖，因此不能说与文章没有联系，也不建议整图删除。</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问题在于三个面板跨越三种机制，正文只用一句话概括；中图两条均值竖线未逐条标识，密度纵轴缺少归一化说明，左、右图也未在面板内标出对应式号。用户所说“第 28 页”更可能实际指向含 fast 的图 16。</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在图前先写总览句，图注按 (a)(b)(c) 分别写输入、判据和结论；面板内标“对应式（49）-（50）/（52）/（51）”，标明中图两条曲线和均值，解释纵轴单位。若版面允许，更优方案是把三图拆开放到各自推导附近。</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10 问题四确有多处文字晦涩，且保证与启发式混在一起</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22-26 页，5.4.1(b)(c)与 5.4.2(b)-(d)，重点为式（40）-（45）、（47）-（53）。源：q4-model.tex:28-67、101-167。</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成立。</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主要障碍不是公式数量，而是缺少量词、动作语义和每段结论：式（40）没有先说清“对任意发射方向至少有一个正面测站”；式（41）-（45）没有先给“单站排除一段方向、多个站覆盖整圆、再遍历所有格和频道”的流程；式（49）-（50）没有分别解释两个条件；式（52）未直说 w_k 是未归一化后验质量；式（53）的 0.35 和归一化因子需要经验含义。</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按本报告第六节的专项结构重写：每个复杂公式前先写它要解决的问题，公式后写变量的动作含义和得到的保证；明确标注式（40）-（51）中哪些是满足条件后的保守证书，式（52）-（53）哪些只改善效率、不会改变正确性。</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11 删除论文与附录中的 fast 速度档展示</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26 页 5.4.3(a)“三个速度档，共计 230 次”；第 28 页图 16(b)及末段；附录 F 当前第 47-48 页速度档表及实验说明。源：q4-model.tex:171、205-209；q4-appendix.tex:38、49-54、66、72；q4-speed-rows.tex:2-4。</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成立。</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原题问题四沿用问题三“确保所有干扰源被清除”的硬条件。fast 档减少扫描站、提前结束且明确“不要求全域证书”；fast95、fast90 在十组样本中也非全清。因此它们不能作为满足题意的候选策略，只能说明违反覆盖约束会换来表面提速。</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删除图 16(b)、正文速度档段落、附录速度档表和相关实验口径。按冻结 runs.jsonl 直接剔除 speed 子集后为 200 次、59663 条动作、2603 个源暴露；仍应由生成脚本统一重建清单和文字，避免手工改数字。代码中的 fast 配置可以保留，但不要在论文或附录结果中展示。若确需保留研究结论，只写一句“稀疏站位破坏全清约束，故舍弃”，不使用 fast 标签和数据。</w:t>
      </w:r>
    </w:p>
    <w:p>
      <w:pPr>
        <w:pStyle w:val="Heading1"/>
      </w:pPr>
      <w:r>
        <w:t>四 新增发现</w:t>
      </w:r>
    </w:p>
    <w:p>
      <w:pPr>
        <w:pStyle w:val="Heading2"/>
      </w:pPr>
      <w:r>
        <w:t>四点一 提交完整性与主要结论</w:t>
      </w:r>
    </w:p>
    <w:p>
      <w:pPr>
        <w:pStyle w:val="Finding"/>
      </w:pPr>
      <w:r>
        <w:rPr>
          <w:rFonts w:ascii="Microsoft YaHei" w:hAnsi="Microsoft YaHei" w:eastAsia="Microsoft YaHei"/>
          <w:b/>
          <w:color w:val="9E2A2B"/>
          <w:sz w:val="21"/>
        </w:rPr>
        <w:t xml:space="preserve">[P0] </w:t>
      </w:r>
      <w:r>
        <w:rPr>
          <w:rFonts w:ascii="Microsoft YaHei" w:hAnsi="Microsoft YaHei" w:eastAsia="Microsoft YaHei"/>
          <w:b/>
          <w:color w:val="000000"/>
          <w:sz w:val="21"/>
        </w:rPr>
        <w:t>12 问题三和问题四正式测试均未完成</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21 页，5.3.3(b)，表 7“问题三正式测试结果（待补）”；第 28 页，5.4.3(b)末句“正式模拟器三次测试数据尚未取得”；第 30 页 6.3 又写“正式测试记录尚待补充”。源：q3-model.tex:175-184；q4-model.tex:209；06-evaluation.tex:31。</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确认存在，属于提交阻断项。</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原题明确要求问题三、问题四各进行三次正式测试，论文按表 1 列出案例编码、清除数、平均定位清除时间和程序运行时间，并把原始日志放入支撑材料。当前问题三表三行全为“待补”，问题四连对应表都没有，目录中也未发现可替代这些结果的正式日志。离线重跑不能替代正式测试。</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立即完成两问各三次正式测试并保留原文件名日志；按题目表头回填，说明平均时间的分母和失败局口径。若客观上无法取得，必须把论文标为未完成稿，不能用离线 120/60 组结果掩盖正式测试缺失。</w:t>
      </w:r>
    </w:p>
    <w:p>
      <w:pPr>
        <w:pStyle w:val="Finding"/>
      </w:pPr>
      <w:r>
        <w:rPr>
          <w:rFonts w:ascii="Microsoft YaHei" w:hAnsi="Microsoft YaHei" w:eastAsia="Microsoft YaHei"/>
          <w:b/>
          <w:color w:val="9E2A2B"/>
          <w:sz w:val="21"/>
        </w:rPr>
        <w:t xml:space="preserve">[P0] </w:t>
      </w:r>
      <w:r>
        <w:rPr>
          <w:rFonts w:ascii="Microsoft YaHei" w:hAnsi="Microsoft YaHei" w:eastAsia="Microsoft YaHei"/>
          <w:b/>
          <w:color w:val="000000"/>
          <w:sz w:val="21"/>
        </w:rPr>
        <w:t>13 参考文献为模板占位内容且正文无引用</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30 页“参考文献”，条目 [1]“作者. 无线电测向与定位技术[M]. 出版社, 年份.”、[2]“作者. 论文题目[J]……”。源：sections/07-references.tex:6-10；全文未检出正文 cite。</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确认存在，属于提交阻断项。</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两条占位内容不是可核验文献；正文使用了交会定位、Sutherland-Hodgman、Andrew 单调链、旋转卡壳、2-opt、bootstrap 等方法，却没有任何来源引用。占位条目会直接暴露稿件未完成，也削弱方法依据。</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删除所有虚构占位项，补真实且实际查阅的文献；在方法首次出现处用统一格式引用。竞赛格式规范若只用于排版依据，应按规范要求处理，不应替代技术文献。</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14 问题二接收门控代码与式（22）不一致，现有图表需重算</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11-13 页，5.2.3 第三步、式（22），以及图 5、表 4、图 6。正文源：sections/05-model.tex:371-384。代码：Q2/pysimulation/src/p2_grid_expectation.py:346-357、382-391。</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确认存在，属于结果可信度问题。</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正文要求对每个源位 G_k 检验 |S₂G_k|≤x_max。代码 reach_ok() 却先把 S₂ 的横坐标截到整条源位线段，计算“测点到该线段的最短距离”，对每个测点只返回一个布尔值，再广播给所有 G_k。反例：S₂=(1400,1000)，源样本 t={0,1500} 时函数返回 [[True]]，但到 t=0 的真实距离为 1720.47 m，已超过 1500 m。</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把门控改为逐测点、逐源样本的距离矩阵 sqrt((X-t)²+Y²)≤1500；增加同时含可达和不可达样本的单元测试；随后重新生成数值网格、图 5、表 4、图 6及最优点。重算前不能继续声称现有误差上限和最优坐标已被独立验证。</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15 式（16）第一行缺少绝对值，几何解释也只对一个分支成立</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10 页，5.2.2(b)，式（16）；锚点“被开方式化为 x_T²+r₂T²+2x_T|x_T-a|，于是”。源：sections/05-model.tex:288-303。</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确认存在，属于实质数学错误。</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正文前一句和式（15）均要求交叉项为 2x_T|x_T-a|，但式（16）第一行写成 2x_T(x_T-a)，与第二行在 x_T&lt;a 时不等价。随后称第二个根式总是“源点到 (a/2,-b/2) 距离的两倍”也只在 x_T≥a 时成立；x_T&lt;a 时该根式为 sqrt(a²+b²)=|S₁S₂|。此外“a→x_T，b→0 时交角趋于 90°”必须指定路径。</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第一行补绝对值；几何解释按 x_T≥a 与 x_T&lt;a 分段；极限改为“固定 a=x_T，再令 b→0”或给出路径条件。修正后重新核对式（17）-（20）及 Mathematica 实现是否均使用正确分支。</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16 理论法与数值法使用的不是同一价值函数</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9、11-13 页，式（11）、式（22）及 5.2.4(b)(c)；锚点“式（22）是条件期望”和“同一价值函数”。源：sections/05-model.tex:241-245、371-384、410-442。</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理论式（11）对全部 x_T∈[0,x_max] 作无条件平均，并在近似 5 中忽略第二测点接收半径；数值式（22）剔除不可接收或无界样本后重新归一，实际是 E[D | 两次探测均有效]。其概率测度和定义域随 (a,b) 改变，不能不加限定地称为“同一价值函数”。单独最小化条件均值还可能偏好检测概率很低的位置。</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统一目标：优先把检测失败后的继续行动代价纳入无条件损失；若保留条件期望，至少同时报告并约束 P(两次均有效)。理论与数值只在所有源样本均可达的共同区域比较，并明确该区域及门控差异。</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17 期望目标依赖未声明的源位先验</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8-9 页，5.2.1、5.2.2(a)，式（5）、（8）、（10）；锚点“可认为先验权重满足 P_T(x_T|S₁)∝x_T”。源：sections/05-model.tex:178-203、214-232。</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题面没有给出源位概率分布。权重 P_T∝x_T 只有在首次角楔内按面积均匀分布等额外先验下成立；换成沿距离均匀、边缘聚集或稳健最坏情形，最优站位会改变。式（5）写 P_T(T)，式（8）又写 P_T(T|S₁)，记号也不一致。</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把“首次观测后，在角楔与接收圆交内按面积均匀”列为明确建模假设，给出条件域和归一化；对至少一种替代先验做敏感性比较。若不愿引入无依据先验，应改用最大直径、分位数或分布鲁棒目标。统一式（5）与式（8）的条件分布记号。</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18 “数值模拟未采取理论近似”及摘要的误差积分表述过强</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 页摘要；第 12 页 5.2.4(b)，锚点“由于在数值模拟中并未采取理论推导时的近似”。源：00-abstract.tex:22-24；sections/05-model.tex:233-238、360-375、410-414。</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数值法仍把源限制在 x 轴、采用 w_k∝x_T，并令第二方位中心正对源点，保留了理论近似 2-4；它主要取消的是平行四边形直径近似，改用严格角楔四边形。摘要却称“对第二次测向的误差求取期望”，与正文主结果不一致。</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改成“数值法不采用平行四边形直径近似，而用严格角楔几何计算直径”，逐项列出保留和取消的近似。若不重算误差平均结果，摘要改为“对源位不确定性取期望，并以有界角楔描述测向误差”。</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19 60 m 阈值的清除尺度解释不成立</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14 页，5.2.4(d)“待选区域确定”；锚点“期望直径接近销毁半径数量级”。源：sections/05-model.tex:482-490。</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60 m 是期望直径，题目清除条件是到真实源的距离不超过 20 m。均值既不控制尾部，也不能保证候选区落入半径 20 m 的清除圆；数值上 60 m 也不是 20 m 的同一尺度判据。当前唯一明确依据是“比最小值高约 5%”，即近优水平集，而不是清除保证。</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把 60 m 定位为“最小期望值上浮约 5% 的工程近优阈值”，删除“保证定位效果”和“接近销毁半径”表述；补充 D 的分位数、P(D≤40 m) 或包围半径≤20 m 的概率，方可讨论单次清除意义。</w:t>
      </w:r>
    </w:p>
    <w:p>
      <w:pPr>
        <w:pStyle w:val="Heading2"/>
      </w:pPr>
      <w:r>
        <w:t>四点二 记号、证据链与表述</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20 无量纲化后的结论写反</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11 页，式（19）后；锚点“与绝对尺度无关”。源：sections/05-model.tex:326-334。</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式（19）前系数含 x_max，明确表明 E[D] 与绝对尺度成正比。真正与尺度无关的是归一化值 E[D]/x_max 作为 (â,b̂) 的函数。</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改成：“E[D]/x_max 只依赖无量纲位形 (â,b̂)；几何同比缩放时 E[D] 按 x_max 线性缩放。”</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21 问题二若干近似的理由不足</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9 页，5.2.2(a)五条近似，尤其第 2、4、5 条。源：sections/05-model.tex:211-238。</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“S₂与S₁距离 R 不小时 y_T 是小量”因果不成立；y_T 的小量界来自首次测向角宽和距离，如 |y_T|≤x_T tan1°。只展开 P_θ 而不同时处理 D 对 y_T 的依赖，也不能直接推出 E[D] 的一阶项抵消。把均匀误差压成 Dirac 还要求损失在远离共线奇异区足够光滑。第 5 条也没有给出第二接收圆覆盖首次候选区的可检验条件。</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用明确不等式说明每个近似的适用域；对 y_T 同时展开概率密度与直径函数；在近共线区单独排除或给误差界；对接收范围给充分条件。无法给界时，应把这些内容降格为建模假设并在局限性中量化。</w:t>
      </w:r>
    </w:p>
    <w:p>
      <w:pPr>
        <w:pStyle w:val="Finding"/>
      </w:pPr>
      <w:r>
        <w:rPr>
          <w:rFonts w:ascii="Microsoft YaHei" w:hAnsi="Microsoft YaHei" w:eastAsia="Microsoft YaHei"/>
          <w:b/>
          <w:color w:val="24364B"/>
          <w:sz w:val="21"/>
        </w:rPr>
        <w:t xml:space="preserve">[P3] </w:t>
      </w:r>
      <w:r>
        <w:rPr>
          <w:rFonts w:ascii="Microsoft YaHei" w:hAnsi="Microsoft YaHei" w:eastAsia="Microsoft YaHei"/>
          <w:b/>
          <w:color w:val="000000"/>
          <w:sz w:val="21"/>
        </w:rPr>
        <w:t>22 摘要和正文的候选集边界、措辞及单位不一致</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 页摘要对比第 14 页 5.2.4(d)和图 6。源：00-abstract.tex:22-26；sections/05-model.tex:484-496。</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摘要写 E[D]&lt;60 m，正文和图 6 写 E[D]≤60 m；“第二检测点和候选区域”应为“第二检测点的候选区域”；集合定义末尾的 60 缺单位，60m 的数字与单位也缺标准间距。</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统一采用闭水平集或开水平集，并解释边界是否纳入；改正“的”字和单位书写，摘要只保留结论，不重复冗长集合公式。</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23 Q3 的估计中心、角度单位和动作计数定义不完整</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15-17 页，式（23）-（25）、（32）；符号表第 4 页。源：q3-model.tex:15-35、99-107；sections/04-symbols.tex:22、29-30。</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x̂_c 的取得方式未定义；u(θ)=(cosθ,sinθ) 与全文 θ 以度为单位的约定冲突，三角函数是否已转弧度不清楚；式（23）前引入“N 为对应动作次数”，公式却只使用分项计数。符号表“S₁,S₂=(a,b)”也易被读成两个点都等于 (a,b)。</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定义 x̂_c 的具体算法；明确问题三起角量统一用弧度，或把 u 写成 cos(πθ/180)、sin(πθ/180)；删去未使用的 N；符号表写成“S₁=(0,0)，S₂=(a,b)（问题二局部坐标）”。</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24 图 16 的脚注与正文统计结论矛盾</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28 页，图 16 下方小字“消融区间跨零”；正文同页写后验中心区间为正、仅信息代价跨零。源：q4-model.tex:203；Q4/scripts/make_paper_figures.py:358-360；q4-ablation-rows.tex:1-2。</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后验中心消融区间为 [2.51%,13.41%]，不跨零；信息代价区间才跨零。图注把两个组件笼统称为“消融区间跨零”，属于事实性误注。</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删除 fast 面板后重做图；脚注分别写“后验中心区间为正；信息代价区间跨零”，并把结论限定为同一 10 组样本。</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25 问题四存在符号冲突和动作参照不明</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22 页式（38）与第 24 页式（47）；第 24-25 页式（48）后“先测较近一侧”。源：q4-model.tex:15-18、102-114；实际排序见 Q4/src/p4_homing.py:129-140。</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H(s;p,ρ,γ) 已表示接收指示函数，式（47）又用 H∈𝓗_c 表示半平面，语义冲突。式（48）的 s₊、s₋ 到正观测点 s 距离相等，“较近一侧”没有参照；代码实际按机器狗当前实际位置排序。</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把半平面元素改记为 Π∈𝓗_c；改成“按机器狗当前位置到 s₋、s₊ 的距离由近到远测量，第一侧无信号再测另一侧”，并说明当前点不一定等于最后正观测点 s。</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26 信息航路的参考分布与主实验混合源设定不一致</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25-26 页，5.4.2(d)，式（53）前“1024 个固定参考状态”；主实验定义见第 26 页 5.4.3(a)。源：q4-model.tex:156-163、171；Q4/src/p4_route_v2.py:28-40。</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确认存在，但只影响效率启发式，不破坏几何证书。</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主实验约一半为全向源，信息航路参考状态却全部带发射朝向并按半平面判定，等价于全定向参考分布。正文未说明这种先验错配及选择理由。</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要么按主模型加入全向/定向混合参考状态并做敏感性检验；要么明确“采用全定向参考分布作为排序启发式”，解释保守性或经验依据，并强调它不是真实发现概率。</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27 含未全清局时“完整时间”命名易误解</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27 页表 10及第 28 页图 15；例如 grid 在“贴边朝外”仅 4/10 全清，却仍报告“完整时间”。源：q4-model.tex:193-201。</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文首虽定义 T_exit 为退出时刻并要求与清除率共同报告，但表名中的“完整时间”很容易被理解为“完成全部任务所需时间”。未全清局的提前或超时退出与成功完成不是同一口径。</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统一改成“退出时间均值（含未全清局）”或“终止时间均值”，表下注明未全清局是否计入、如何计入；如比较成功完成时间，再另列仅全清局条件均值，但不得隐藏失败局。</w:t>
      </w:r>
    </w:p>
    <w:p>
      <w:pPr>
        <w:pStyle w:val="Heading2"/>
      </w:pPr>
      <w:r>
        <w:t>四点三 附录与版面</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28 附录只列核心代码，与工程内格式要求不一致</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附录 E、G，分别从第 42 页和第 49 页开始；锚点“仅展示最终策略的核心代码”。源：08-appendix.tex:62-79、q3-appendix.tex:88-94、q4-appendix.tex:86-92；工程 FORMAT-GUIDE.md:40-41。</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确认存在，但最终应再以赛事官方格式原文核定。</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工程格式指南明确写“附录必须包含支撑材料文件列表 + 建模所用全部可运行源程序”。当前 Q3 只载入 p3_joint.py，Q4 只载入 p4_compact.py，二者均依赖未在 PDF 中列出的公共模块；Q1 的实验与绘图程序也被注释掉，Q2 Python 程序仅在支撑材料中。当前附录代码本身不是完整可运行集合。</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按官方规范确认要求：若确需在论文附录列全，应自动合并实际执行所需模块并给出文件边界；若官方允许只在支撑材料提交完整代码，则修改工程指南和附录措辞，清楚区分“论文节选”和“支撑材料完整源码”，避免自相矛盾。</w:t>
      </w:r>
    </w:p>
    <w:p>
      <w:pPr>
        <w:pStyle w:val="Finding"/>
      </w:pPr>
      <w:r>
        <w:rPr>
          <w:rFonts w:ascii="Microsoft YaHei" w:hAnsi="Microsoft YaHei" w:eastAsia="Microsoft YaHei"/>
          <w:b/>
          <w:color w:val="24364B"/>
          <w:sz w:val="21"/>
        </w:rPr>
        <w:t xml:space="preserve">[P3] </w:t>
      </w:r>
      <w:r>
        <w:rPr>
          <w:rFonts w:ascii="Microsoft YaHei" w:hAnsi="Microsoft YaHei" w:eastAsia="Microsoft YaHei"/>
          <w:b/>
          <w:color w:val="000000"/>
          <w:sz w:val="21"/>
        </w:rPr>
        <w:t>29 附录小节编号和交叉引用错误</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31 页“附录 B”下显示“2.1”；第 18 页正文显示“附录 4.1”，实际对应附录 D.1。源：08-appendix.tex:62-65、81；q3-appendix.tex:2-3；cumcmthesis.cls:467-468。</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附录章标题使用字母，但 subsection 被类文件固定成阿拉伯章节号，导致 B 下出现 2.1、D 被引用为 4.1，读者无法稳定定位。</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进入 appendices 后重定义 thesubsection 为 Alph{section}.arabic{subsection}，必要时同步下一级；全文重新编译两遍，核对正文显示为“附录 D.1”等一致形式。</w:t>
      </w:r>
    </w:p>
    <w:p>
      <w:pPr>
        <w:pStyle w:val="Finding"/>
      </w:pPr>
      <w:r>
        <w:rPr>
          <w:rFonts w:ascii="Microsoft YaHei" w:hAnsi="Microsoft YaHei" w:eastAsia="Microsoft YaHei"/>
          <w:b/>
          <w:color w:val="24364B"/>
          <w:sz w:val="21"/>
        </w:rPr>
        <w:t xml:space="preserve">[P3] </w:t>
      </w:r>
      <w:r>
        <w:rPr>
          <w:rFonts w:ascii="Microsoft YaHei" w:hAnsi="Microsoft YaHei" w:eastAsia="Microsoft YaHei"/>
          <w:b/>
          <w:color w:val="000000"/>
          <w:sz w:val="21"/>
        </w:rPr>
        <w:t>30 分页和留白仍需终稿整理</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14 页图 6 后约半页空白；第 21 页表 7 后约三分之二页空白；第 30 页参考文献后直接进入附录 A；第 51 页仅数行代码。源：05-model.tex:493-503；q3-model.tex:175-187；08-appendix.tex:6；q4-appendix.tex:86-92。</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第 14、21 页的 clearpage、samepage 与强制 [H] 浮动组合造成明显版面浪费；参考文献和附录没有分页边界；末页代码清单分页不平衡。正式测试回填后页流会变化，但当前布局仍需要终稿级检查。</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优先完成内容后再排版：减少非必要 clearpage/samepage/[H]；参考文献后用 clearpage 开始附录；调整代码清单字号或分页点，使末页不只剩数行，同时避免为了填满页面而压缩可读性。</w:t>
      </w:r>
    </w:p>
    <w:p>
      <w:pPr>
        <w:pStyle w:val="Finding"/>
      </w:pPr>
      <w:r>
        <w:rPr>
          <w:rFonts w:ascii="Microsoft YaHei" w:hAnsi="Microsoft YaHei" w:eastAsia="Microsoft YaHei"/>
          <w:b/>
          <w:color w:val="24364B"/>
          <w:sz w:val="21"/>
        </w:rPr>
        <w:t xml:space="preserve">[P3] </w:t>
      </w:r>
      <w:r>
        <w:rPr>
          <w:rFonts w:ascii="Microsoft YaHei" w:hAnsi="Microsoft YaHei" w:eastAsia="Microsoft YaHei"/>
          <w:b/>
          <w:color w:val="000000"/>
          <w:sz w:val="21"/>
        </w:rPr>
        <w:t>31 图号引用和图内符号有零散不一致</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29 页 6.1“图 (11) 和 (16)”；第 17 页图 7子图标题用 T=…s，而全文 T 表示源位置。源：06-evaluation.tex:17；q3-model.tex:91-94及图文件。</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中文图号通常不再外加圆括号；图内用 T 表时间又与全篇源位置 T 冲突，会在高密度公式稿中增加认知负担。</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统一为“图 11 和图 16”；图内时间改用 T_exit。顺带对所有图表中的符号、单位、字体和正文符号表做一次全局核对。</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32 论文给出的 Q3/Q4 复现命令不会用新结果重建论文图表</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41 页附录 D 4.4“从仓库根目录复现问题三”；第 48 页附录 F 6.4“问题四实验与论文图表的复现命令”。源：q3-appendix.tex:70-83；q4-appendix.tex:68-84；Q3/research_archive/scripts/make_paper_tables.py:9；Q4/make_paper_tables.py:7。</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确认存在，属于证据链问题。</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Q3 重跑命令把新结果写到 /tmp/q3-reproduction，但后续表脚本固定读取 research_archive/out/paper_q3；Q4 把新结果写到 Q4/out/paper_q4_reproduce，表脚本却固定读取旧 Q4/out/paper_q4。图脚本虽支持 --data，文中命令没有传入。因此命令序列实际是“重跑一份新实验，再用旧冻结数据重建图表”，不能称为完整复现。Q4 的 make_paper_source.py 还固定写回冻结 source_display，与“新实验写入单独目录、避免覆盖冻结数据”的说明不完全一致。</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给所有表图脚本增加并使用同一个 --data/--out 参数，确保重跑、汇总、制图和论文数字都指向新目录；或者明确拆成两组命令：“重跑验证”和“用冻结数据重建论文”。每次运行后在清单中记录输入目录和数据哈希。</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33 Q3 冻结源码审计对换行符敏感，会在 Windows 上误报失败</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41 页附录 D 4.4首条 audit-only 命令。实现：Q3/research_archive/src/run_p3_paper.py:80、105-123；Q3/code/SHA256.json。</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旧 manifest 的 59 个 Python 文件按 LF 字节计算哈希；当前 Windows checkout 为 CRLF，59/59 原始字节哈希不匹配，但统一 CRLF→LF 后 59/59 全部一致。这是跨平台字节表示差异，不是算法变化。若按论文命令运行，审计可能在进入结果核验前失败。Q4 展示清单也有类似跨平台原始字节差异，但统一 LF 后 25/25 与当前源码相同。</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审计优先记录规范化 LF 文本哈希或 Git blob 哈希，原始字节哈希只作补充；脚本在报“源码变化”前区分仅换行不同与内容不同，并在复现说明中明确规范化规则。</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34 Q4 的 grid 与 strict 版本不是同一终点口径</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27 页表 9、第 27-28 页表 10与图 15；附录第 47-48 页表 19。冻结 runs.jsonl 中 grid/legacy 为 certification_mode=not_requested、termination=legacy_exit，joint/compact 为 continuous/certified_complete。源：q4-model.tex:173-201；q4-appendix.tex:56-64。</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三版被并列为“完整退出成本”，但 grid 从未请求连续无源证书；joint/compact 才以证书完成退出。贴边朝外组 grid 仅 4/10 全清，更说明其终点与严格版不同。正文虽主要比较两个严格版，表格仍容易让读者把 grid 的较短或较长时间理解为同质量终点比较。</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在策略表和所有结果表中把 grid 明确标为“启发式退出，无连续证书”，其时间改称终止时间；主结论只比较采用相同连续证书的 joint 与 compact。若要进行三版公平效率比较，应对 grid 施加同一外部终止证书后重测。</w:t>
      </w:r>
    </w:p>
    <w:p>
      <w:pPr>
        <w:pStyle w:val="Finding"/>
      </w:pPr>
      <w:r>
        <w:rPr>
          <w:rFonts w:ascii="Microsoft YaHei" w:hAnsi="Microsoft YaHei" w:eastAsia="Microsoft YaHei"/>
          <w:b/>
          <w:color w:val="24364B"/>
          <w:sz w:val="21"/>
        </w:rPr>
        <w:t xml:space="preserve">[P2] </w:t>
      </w:r>
      <w:r>
        <w:rPr>
          <w:rFonts w:ascii="Microsoft YaHei" w:hAnsi="Microsoft YaHei" w:eastAsia="Microsoft YaHei"/>
          <w:b/>
          <w:color w:val="000000"/>
          <w:sz w:val="21"/>
        </w:rPr>
        <w:t>35 Q3 外圈场景的文字分布与生成代码不一致</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40 页附录 D 4.3“外圈和中心组……其半径分别在 1300-1800 m 和 0-260 m 内均匀取值”。源：q3-appendix.tex:43；生成代码 Q3/research_archive/src/p3_bench.py:54、59、66、70。</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中心组确实令半径 r 在 0-260 m 上均匀；外圈组实际令 r=sqrt(U(1300²,1800²))，即在环带面积上均匀，而不是半径均匀。两种分布对靠外缘样本权重不同，属于实验定义事实不一致。</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改为“外圈位置在 1300-1800 m 环带内按面积均匀（r² 均匀），中心组半径在 0-260 m 内均匀”，并检查正文其他场景描述、清单和复现文档使用同一口径。</w:t>
      </w:r>
    </w:p>
    <w:p>
      <w:pPr>
        <w:pStyle w:val="Finding"/>
      </w:pPr>
      <w:r>
        <w:rPr>
          <w:rFonts w:ascii="Microsoft YaHei" w:hAnsi="Microsoft YaHei" w:eastAsia="Microsoft YaHei"/>
          <w:b/>
          <w:color w:val="24364B"/>
          <w:sz w:val="21"/>
        </w:rPr>
        <w:t xml:space="preserve">[P3] </w:t>
      </w:r>
      <w:r>
        <w:rPr>
          <w:rFonts w:ascii="Microsoft YaHei" w:hAnsi="Microsoft YaHei" w:eastAsia="Microsoft YaHei"/>
          <w:b/>
          <w:color w:val="000000"/>
          <w:sz w:val="21"/>
        </w:rPr>
        <w:t>36 支撑材料总表对四问的组织不完整</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30-31 页附录 A“支撑材料文件列表”，以及第 48 页 Q4 另列文件。源：08-appendix.tex:10-27、37-60；q4-appendix.tex:68-76。</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Q1/Q2 使用同一数字列表，Q3 另起字母列表，Q4 完全不在附录 A 总表而到附录 F 才出现；Mathematica 程序说明会生成的 Q2_expected_diameter_data.csv 也未列入总表。读者无法在一个位置确认四问的输入、代码、冻结结果、正式日志和复现入口。</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把附录 A 重构为 Q1-Q4 四个同级小节，每问统一列“输入/场景、执行代码、冻结结果、图表生成、正式日志、复现说明”六类；路径必须逐项检查存在性。正式测试完成后把六份日志加入相应小节。</w:t>
      </w:r>
    </w:p>
    <w:p>
      <w:pPr>
        <w:pStyle w:val="Finding"/>
      </w:pPr>
      <w:r>
        <w:rPr>
          <w:rFonts w:ascii="Microsoft YaHei" w:hAnsi="Microsoft YaHei" w:eastAsia="Microsoft YaHei"/>
          <w:b/>
          <w:color w:val="24364B"/>
          <w:sz w:val="21"/>
        </w:rPr>
        <w:t xml:space="preserve">[P3] </w:t>
      </w:r>
      <w:r>
        <w:rPr>
          <w:rFonts w:ascii="Microsoft YaHei" w:hAnsi="Microsoft YaHei" w:eastAsia="Microsoft YaHei"/>
          <w:b/>
          <w:color w:val="000000"/>
          <w:sz w:val="21"/>
        </w:rPr>
        <w:t>37 附录长表续页和英文缩写影响独立阅读</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40 页表 12；第 48 页表 19续页。源：q3-appendix.tex:43-53；q4-appendix.tex:59-64。</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表 12 直接使用 random/annulus/center/hash/worstrecv 与 field/sweep/tour/adaptive/joint，没有中英文映射；表 19续页只重复表头，没有“表 19（续）”。这些不影响数值，但降低附录作为独立复核材料的可读性。</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表 12 前给出映射或直接使用中文场景名，并再次定义 P90；longtable 的续页表头增加“表 19（续）”，同时检查跨页表格的单位和策略名是否重复。</w:t>
      </w:r>
    </w:p>
    <w:p>
      <w:pPr>
        <w:pStyle w:val="Finding"/>
      </w:pPr>
      <w:r>
        <w:rPr>
          <w:rFonts w:ascii="Microsoft YaHei" w:hAnsi="Microsoft YaHei" w:eastAsia="Microsoft YaHei"/>
          <w:b/>
          <w:color w:val="9E2A2B"/>
          <w:sz w:val="21"/>
        </w:rPr>
        <w:t xml:space="preserve">[P1] </w:t>
      </w:r>
      <w:r>
        <w:rPr>
          <w:rFonts w:ascii="Microsoft YaHei" w:hAnsi="Microsoft YaHei" w:eastAsia="Microsoft YaHei"/>
          <w:b/>
          <w:color w:val="000000"/>
          <w:sz w:val="21"/>
        </w:rPr>
        <w:t>38 Q3 五策略的“完整时间”也不是统一终点口径</w:t>
      </w:r>
    </w:p>
    <w:p>
      <w:pPr>
        <w:keepNext w:val="0"/>
        <w:spacing w:before="0" w:after="70" w:line="300" w:lineRule="auto"/>
      </w:pPr>
      <w:r>
        <w:rPr>
          <w:rFonts w:ascii="SimSun" w:hAnsi="SimSun" w:eastAsia="SimSun"/>
          <w:b/>
          <w:i w:val="0"/>
          <w:color w:val="000000"/>
          <w:sz w:val="21"/>
        </w:rPr>
        <w:t>位置：</w:t>
      </w:r>
      <w:r>
        <w:rPr>
          <w:rFonts w:ascii="SimSun" w:hAnsi="SimSun" w:eastAsia="SimSun"/>
          <w:b w:val="0"/>
          <w:i w:val="0"/>
          <w:color w:val="000000"/>
          <w:sz w:val="21"/>
        </w:rPr>
        <w:t>当前 PDF 第 19-20 页，5.3.3(a)，表 6及“joint 较 field 的完整时间均值降低”。源：q3-model.tex:151-166；冻结汇总 Q3/research_archive/out/paper_q3/summary.json；提前终止逻辑见 Q3/research_archive/src/p3_robot.py:1182-1183。</w:t>
      </w:r>
    </w:p>
    <w:p>
      <w:pPr>
        <w:keepNext w:val="0"/>
        <w:spacing w:before="0" w:after="70" w:line="300" w:lineRule="auto"/>
      </w:pPr>
      <w:r>
        <w:rPr>
          <w:rFonts w:ascii="SimSun" w:hAnsi="SimSun" w:eastAsia="SimSun"/>
          <w:b/>
          <w:i w:val="0"/>
          <w:color w:val="9E2A2B"/>
          <w:sz w:val="21"/>
        </w:rPr>
        <w:t>判定：</w:t>
      </w:r>
      <w:r>
        <w:rPr>
          <w:rFonts w:ascii="SimSun" w:hAnsi="SimSun" w:eastAsia="SimSun"/>
          <w:b w:val="0"/>
          <w:i w:val="0"/>
          <w:color w:val="000000"/>
          <w:sz w:val="21"/>
        </w:rPr>
        <w:t>确认存在。</w:t>
      </w:r>
    </w:p>
    <w:p>
      <w:pPr>
        <w:keepNext w:val="0"/>
        <w:spacing w:before="0" w:after="70" w:line="300" w:lineRule="auto"/>
      </w:pPr>
      <w:r>
        <w:rPr>
          <w:rFonts w:ascii="SimSun" w:hAnsi="SimSun" w:eastAsia="SimSun"/>
          <w:b/>
          <w:i w:val="0"/>
          <w:color w:val="000000"/>
          <w:sz w:val="21"/>
        </w:rPr>
        <w:t>审查意见：</w:t>
      </w:r>
      <w:r>
        <w:rPr>
          <w:rFonts w:ascii="SimSun" w:hAnsi="SimSun" w:eastAsia="SimSun"/>
          <w:b w:val="0"/>
          <w:i w:val="0"/>
          <w:color w:val="000000"/>
          <w:sz w:val="21"/>
        </w:rPr>
        <w:t>field、sweep 的 120 局完成证明均为空，tour 仅 115/120 声称完成证明；只有 adaptive、joint 是 120/120 continuous_cell 证书。field 还可能在连续两轮没有值得检测的动作后启发式停止。正文公开清除率能部分缓解误读，但仍把不同停止条件的时间称为同一“完整任务成本”，并据此给出 joint 对 field 的 42.6% 降幅。</w:t>
      </w:r>
    </w:p>
    <w:p>
      <w:pPr>
        <w:keepNext w:val="0"/>
        <w:spacing w:before="0" w:after="160" w:line="300" w:lineRule="auto"/>
      </w:pPr>
      <w:r>
        <w:rPr>
          <w:rFonts w:ascii="SimSun" w:hAnsi="SimSun" w:eastAsia="SimSun"/>
          <w:b/>
          <w:i w:val="0"/>
          <w:color w:val="000000"/>
          <w:sz w:val="21"/>
        </w:rPr>
        <w:t>修改建议：</w:t>
      </w:r>
      <w:r>
        <w:rPr>
          <w:rFonts w:ascii="SimSun" w:hAnsi="SimSun" w:eastAsia="SimSun"/>
          <w:b w:val="0"/>
          <w:i w:val="0"/>
          <w:color w:val="000000"/>
          <w:sz w:val="21"/>
        </w:rPr>
        <w:t>增加“停止条件/完成证书”列，把早期策略时间称为“策略停止时间”；跨代结果可作为探索性演进，但严格效率结论应优先比较相同连续证书口径的 adaptive 与 joint。摘要中的 42.6% 也需说明它是对启发式初代的版本差异，不是同终点性能提升。</w:t>
      </w:r>
    </w:p>
    <w:p>
      <w:pPr>
        <w:pStyle w:val="Heading1"/>
      </w:pPr>
      <w:r>
        <w:t>五 问题四专项可读性重构建议</w:t>
      </w:r>
    </w:p>
    <w:p>
      <w:pPr>
        <w:keepNext w:val="0"/>
        <w:spacing w:before="0" w:after="160" w:line="300" w:lineRule="auto"/>
      </w:pPr>
      <w:r>
        <w:rPr>
          <w:rFonts w:ascii="SimSun" w:hAnsi="SimSun" w:eastAsia="SimSun"/>
          <w:b w:val="0"/>
          <w:i w:val="0"/>
          <w:color w:val="000000"/>
          <w:sz w:val="21"/>
        </w:rPr>
        <w:t>问题四的数学主线是可成立的：先证明任意位置和朝向都有机会被某站接收，再用逐频道真实负观测形成无源证书；发现源后用保守外包定位，最后用后验和航路启发式降低成本。当前难点在于这些层次没有被稳定地显式标注。建议按以下顺序重排，每段都采用“目的—定义—公式—白话结论—保证边界”的结构。</w:t>
      </w:r>
    </w:p>
    <w:p>
      <w:pPr>
        <w:pStyle w:val="Finding"/>
      </w:pPr>
      <w:r>
        <w:rPr>
          <w:rFonts w:ascii="Microsoft YaHei" w:hAnsi="Microsoft YaHei" w:eastAsia="Microsoft YaHei"/>
          <w:b/>
          <w:color w:val="000000"/>
          <w:sz w:val="21"/>
        </w:rPr>
        <w:t>1 式（40）之前先交代存在性命题</w:t>
      </w:r>
    </w:p>
    <w:p>
      <w:pPr>
        <w:keepNext w:val="0"/>
        <w:spacing w:before="0" w:after="120" w:line="300" w:lineRule="auto"/>
      </w:pPr>
      <w:r>
        <w:rPr>
          <w:rFonts w:ascii="SimSun" w:hAnsi="SimSun" w:eastAsia="SimSun"/>
          <w:b w:val="0"/>
          <w:i w:val="0"/>
          <w:color w:val="000000"/>
          <w:sz w:val="21"/>
        </w:rPr>
        <w:t>先写清量词：“固定任意源位置 p 和任意发射方向 d，要证明附近测站中至少一个位于发射正面。”再解释凸组合加权和为零意味着三个点积不可能全为负；这才是三角格网充分条件的核心。</w:t>
      </w:r>
    </w:p>
    <w:p>
      <w:pPr>
        <w:pStyle w:val="Finding"/>
      </w:pPr>
      <w:r>
        <w:rPr>
          <w:rFonts w:ascii="Microsoft YaHei" w:hAnsi="Microsoft YaHei" w:eastAsia="Microsoft YaHei"/>
          <w:b/>
          <w:color w:val="000000"/>
          <w:sz w:val="21"/>
        </w:rPr>
        <w:t>2 式（41）至（45）改成四步流程</w:t>
      </w:r>
    </w:p>
    <w:p>
      <w:pPr>
        <w:keepNext w:val="0"/>
        <w:spacing w:before="0" w:after="120" w:line="300" w:lineRule="auto"/>
      </w:pPr>
      <w:r>
        <w:rPr>
          <w:rFonts w:ascii="SimSun" w:hAnsi="SimSun" w:eastAsia="SimSun"/>
          <w:b w:val="0"/>
          <w:i w:val="0"/>
          <w:color w:val="000000"/>
          <w:sz w:val="21"/>
        </w:rPr>
        <w:t>固定一个方格；单个无信号站只排除该格中的一段候选朝向；多个站的排除弧覆盖 [0,2π) 时，该格任何位置和朝向都不可能有源；对所有相交方格和所有频道重复，才得到全域无残留。明确 d/γ 是遍历的候选隐变量，不是已知真值。</w:t>
      </w:r>
    </w:p>
    <w:p>
      <w:pPr>
        <w:pStyle w:val="Finding"/>
      </w:pPr>
      <w:r>
        <w:rPr>
          <w:rFonts w:ascii="Microsoft YaHei" w:hAnsi="Microsoft YaHei" w:eastAsia="Microsoft YaHei"/>
          <w:b/>
          <w:color w:val="000000"/>
          <w:sz w:val="21"/>
        </w:rPr>
        <w:t>3 式（47）至（50）先讲几何再讲代数</w:t>
      </w:r>
    </w:p>
    <w:p>
      <w:pPr>
        <w:keepNext w:val="0"/>
        <w:spacing w:before="0" w:after="120" w:line="300" w:lineRule="auto"/>
      </w:pPr>
      <w:r>
        <w:rPr>
          <w:rFonts w:ascii="SimSun" w:hAnsi="SimSun" w:eastAsia="SimSun"/>
          <w:b w:val="0"/>
          <w:i w:val="0"/>
          <w:color w:val="000000"/>
          <w:sz w:val="21"/>
        </w:rPr>
        <w:t>说明 P_c 是精确相容集，P̃_c 是便于计算且包含真源的外包。对双侧补测，第一个条件 t tanη≤ℓ 保证 x=t 截面覆盖整个角楔；第二个条件保证两个端点对远端候选不比原正测站更远。只有两侧都实际无信号且条件成立，才能加入纵向截断。</w:t>
      </w:r>
    </w:p>
    <w:p>
      <w:pPr>
        <w:pStyle w:val="Finding"/>
      </w:pPr>
      <w:r>
        <w:rPr>
          <w:rFonts w:ascii="Microsoft YaHei" w:hAnsi="Microsoft YaHei" w:eastAsia="Microsoft YaHei"/>
          <w:b/>
          <w:color w:val="000000"/>
          <w:sz w:val="21"/>
        </w:rPr>
        <w:t>4 式（51）明确条件性保证</w:t>
      </w:r>
    </w:p>
    <w:p>
      <w:pPr>
        <w:keepNext w:val="0"/>
        <w:spacing w:before="0" w:after="120" w:line="300" w:lineRule="auto"/>
      </w:pPr>
      <w:r>
        <w:rPr>
          <w:rFonts w:ascii="SimSun" w:hAnsi="SimSun" w:eastAsia="SimSun"/>
          <w:b w:val="0"/>
          <w:i w:val="0"/>
          <w:color w:val="000000"/>
          <w:sz w:val="21"/>
        </w:rPr>
        <w:t>网格间距 28 m 使任一点到最近格点不超过 19.799 m，因此格点清除覆盖是确定性的；但结论依赖真源仍在外包中、所有保留格点被实际执行且预算足够。把这些条件与启发式逼近轮数分开写。</w:t>
      </w:r>
    </w:p>
    <w:p>
      <w:pPr>
        <w:pStyle w:val="Finding"/>
      </w:pPr>
      <w:r>
        <w:rPr>
          <w:rFonts w:ascii="Microsoft YaHei" w:hAnsi="Microsoft YaHei" w:eastAsia="Microsoft YaHei"/>
          <w:b/>
          <w:color w:val="000000"/>
          <w:sz w:val="21"/>
        </w:rPr>
        <w:t>5 式（52）把后验权重说成人话</w:t>
      </w:r>
    </w:p>
    <w:p>
      <w:pPr>
        <w:keepNext w:val="0"/>
        <w:spacing w:before="0" w:after="120" w:line="300" w:lineRule="auto"/>
      </w:pPr>
      <w:r>
        <w:rPr>
          <w:rFonts w:ascii="SimSun" w:hAnsi="SimSun" w:eastAsia="SimSun"/>
          <w:b w:val="0"/>
          <w:i w:val="0"/>
          <w:color w:val="000000"/>
          <w:sz w:val="21"/>
        </w:rPr>
        <w:t>w_k 是距离点 p_k 的未归一化相容质量：全向项枚举接收半径，定向项再枚举朝向；指示量为 1 表示该候选状态能复现全部已有正负回复。x̂_c 是归一化加权均值。强调该计算只改规划中心，不删真值候选，所以是效率模块而非证书。</w:t>
      </w:r>
    </w:p>
    <w:p>
      <w:pPr>
        <w:pStyle w:val="Finding"/>
      </w:pPr>
      <w:r>
        <w:rPr>
          <w:rFonts w:ascii="Microsoft YaHei" w:hAnsi="Microsoft YaHei" w:eastAsia="Microsoft YaHei"/>
          <w:b/>
          <w:color w:val="000000"/>
          <w:sz w:val="21"/>
        </w:rPr>
        <w:t>6 式（53）解释每一项和经验参数</w:t>
      </w:r>
    </w:p>
    <w:p>
      <w:pPr>
        <w:keepNext w:val="0"/>
        <w:spacing w:before="0" w:after="120" w:line="300" w:lineRule="auto"/>
      </w:pPr>
      <w:r>
        <w:rPr>
          <w:rFonts w:ascii="SimSun" w:hAnsi="SimSun" w:eastAsia="SimSun"/>
          <w:b w:val="0"/>
          <w:i w:val="0"/>
          <w:color w:val="000000"/>
          <w:sz w:val="21"/>
        </w:rPr>
        <w:t>L(π) 是移动路程；30=5×(5+1) 把每频道一次检测和一次切频折成路程；F 越大表示更多参考状态已可被前序站发现，ω(F) 越小，因此把潜在信息量大的站提前。除以 ω(F₀) 使首站成本归一；0.35 防止后期扫描成本降为零。说明 0.35 是经验参数，现有消融不足以证明稳定收益。</w:t>
      </w:r>
    </w:p>
    <w:p>
      <w:pPr>
        <w:pStyle w:val="Finding"/>
      </w:pPr>
      <w:r>
        <w:rPr>
          <w:rFonts w:ascii="Microsoft YaHei" w:hAnsi="Microsoft YaHei" w:eastAsia="Microsoft YaHei"/>
          <w:b/>
          <w:color w:val="000000"/>
          <w:sz w:val="21"/>
        </w:rPr>
        <w:t>7 每节末尾加“保证还是启发式”一句</w:t>
      </w:r>
    </w:p>
    <w:p>
      <w:pPr>
        <w:keepNext w:val="0"/>
        <w:spacing w:before="0" w:after="120" w:line="300" w:lineRule="auto"/>
      </w:pPr>
      <w:r>
        <w:rPr>
          <w:rFonts w:ascii="SimSun" w:hAnsi="SimSun" w:eastAsia="SimSun"/>
          <w:b w:val="0"/>
          <w:i w:val="0"/>
          <w:color w:val="000000"/>
          <w:sz w:val="21"/>
        </w:rPr>
        <w:t>式（40）至（51）在各自前提满足时承担正确性或覆盖证书；式（52）、（53）、最近邻、2-opt、候选搜索只优化效率。把这条边界反复说清，可显著降低“公式很多但不知道哪条真正保证全清”的阅读负担。</w:t>
      </w:r>
    </w:p>
    <w:p>
      <w:pPr>
        <w:pStyle w:val="Heading1"/>
      </w:pPr>
      <w:r>
        <w:t>六 建议修订顺序</w:t>
      </w:r>
    </w:p>
    <w:p>
      <w:pPr>
        <w:pStyle w:val="ListNumber"/>
        <w:spacing w:after="60" w:line="288" w:lineRule="auto"/>
      </w:pPr>
      <w:r>
        <w:rPr>
          <w:rFonts w:ascii="SimSun" w:hAnsi="SimSun" w:eastAsia="SimSun"/>
          <w:color w:val="000000"/>
          <w:sz w:val="21"/>
        </w:rPr>
        <w:t>先处理提交阻断项：完成问题三、四各三次正式测试并纳入日志；替换参考文献占位项并补正文引用。</w:t>
      </w:r>
    </w:p>
    <w:p>
      <w:pPr>
        <w:pStyle w:val="ListNumber"/>
        <w:spacing w:after="60" w:line="288" w:lineRule="auto"/>
      </w:pPr>
      <w:r>
        <w:rPr>
          <w:rFonts w:ascii="SimSun" w:hAnsi="SimSun" w:eastAsia="SimSun"/>
          <w:color w:val="000000"/>
          <w:sz w:val="21"/>
        </w:rPr>
        <w:t>修正问题二接收门控代码和式（16），统一无条件/条件期望口径，明确源位先验；重新生成图 5、表 4、图 6及所有受影响数字。</w:t>
      </w:r>
    </w:p>
    <w:p>
      <w:pPr>
        <w:pStyle w:val="ListNumber"/>
        <w:spacing w:after="60" w:line="288" w:lineRule="auto"/>
      </w:pPr>
      <w:r>
        <w:rPr>
          <w:rFonts w:ascii="SimSun" w:hAnsi="SimSun" w:eastAsia="SimSun"/>
          <w:color w:val="000000"/>
          <w:sz w:val="21"/>
        </w:rPr>
        <w:t>删除 fast 相关正文、图 16(b)、附录表和实验计数；修正图 16剩余脚注，并核对重算后的动作总数与清单。</w:t>
      </w:r>
    </w:p>
    <w:p>
      <w:pPr>
        <w:pStyle w:val="ListNumber"/>
        <w:spacing w:after="60" w:line="288" w:lineRule="auto"/>
      </w:pPr>
      <w:r>
        <w:rPr>
          <w:rFonts w:ascii="SimSun" w:hAnsi="SimSun" w:eastAsia="SimSun"/>
          <w:color w:val="000000"/>
          <w:sz w:val="21"/>
        </w:rPr>
        <w:t>补充问题二价值函数理由、问题三 W_i/x̂_c 解释，以及问题四式（40）至（53）的分层说明；统一“保证”与“启发式”的措辞。</w:t>
      </w:r>
    </w:p>
    <w:p>
      <w:pPr>
        <w:pStyle w:val="ListNumber"/>
        <w:spacing w:after="60" w:line="288" w:lineRule="auto"/>
      </w:pPr>
      <w:r>
        <w:rPr>
          <w:rFonts w:ascii="SimSun" w:hAnsi="SimSun" w:eastAsia="SimSun"/>
          <w:color w:val="000000"/>
          <w:sz w:val="21"/>
        </w:rPr>
        <w:t>重绘图 1，改进图 4和图 13标注；修复表 3表注、附录编号、分页留白、图号格式与符号冲突。</w:t>
      </w:r>
    </w:p>
    <w:p>
      <w:pPr>
        <w:pStyle w:val="ListNumber"/>
        <w:spacing w:after="60" w:line="288" w:lineRule="auto"/>
      </w:pPr>
      <w:r>
        <w:rPr>
          <w:rFonts w:ascii="SimSun" w:hAnsi="SimSun" w:eastAsia="SimSun"/>
          <w:color w:val="000000"/>
          <w:sz w:val="21"/>
        </w:rPr>
        <w:t>最后做一次从原题到摘要、正文、表格、附录和支撑材料的闭环核对：每个题目硬要求均有正文结果，每个数字有可复现来源，每个关键算法有完整代码，每个结论不超出证据。</w:t>
      </w:r>
    </w:p>
    <w:p>
      <w:pPr>
        <w:pStyle w:val="Heading1"/>
      </w:pPr>
      <w:r>
        <w:t>七 终稿核对清单</w:t>
      </w:r>
    </w:p>
    <w:p>
      <w:pPr>
        <w:pStyle w:val="ListBullet"/>
        <w:spacing w:after="50" w:line="288" w:lineRule="auto"/>
      </w:pPr>
      <w:r>
        <w:rPr>
          <w:rFonts w:ascii="SimSun" w:hAnsi="SimSun" w:eastAsia="SimSun"/>
          <w:color w:val="000000"/>
          <w:sz w:val="21"/>
        </w:rPr>
        <w:t>问题三正式测试表：3 行全部为真实数据，日志原文件名保留并列入支撑材料。</w:t>
      </w:r>
    </w:p>
    <w:p>
      <w:pPr>
        <w:pStyle w:val="ListBullet"/>
        <w:spacing w:after="50" w:line="288" w:lineRule="auto"/>
      </w:pPr>
      <w:r>
        <w:rPr>
          <w:rFonts w:ascii="SimSun" w:hAnsi="SimSun" w:eastAsia="SimSun"/>
          <w:color w:val="000000"/>
          <w:sz w:val="21"/>
        </w:rPr>
        <w:t>问题四正式测试表：单独列出 3 次正式测试，字段与题目表 1一致。</w:t>
      </w:r>
    </w:p>
    <w:p>
      <w:pPr>
        <w:pStyle w:val="ListBullet"/>
        <w:spacing w:after="50" w:line="288" w:lineRule="auto"/>
      </w:pPr>
      <w:r>
        <w:rPr>
          <w:rFonts w:ascii="SimSun" w:hAnsi="SimSun" w:eastAsia="SimSun"/>
          <w:color w:val="000000"/>
          <w:sz w:val="21"/>
        </w:rPr>
        <w:t>参考文献：无“作者、出版社、年份”等占位词，正文每条引用可追溯。</w:t>
      </w:r>
    </w:p>
    <w:p>
      <w:pPr>
        <w:pStyle w:val="ListBullet"/>
        <w:spacing w:after="50" w:line="288" w:lineRule="auto"/>
      </w:pPr>
      <w:r>
        <w:rPr>
          <w:rFonts w:ascii="SimSun" w:hAnsi="SimSun" w:eastAsia="SimSun"/>
          <w:color w:val="000000"/>
          <w:sz w:val="21"/>
        </w:rPr>
        <w:t>问题二：代码门控逐样本；式（16）分支正确；理论与数值目标同口径；图表全部由修正后数据生成。</w:t>
      </w:r>
    </w:p>
    <w:p>
      <w:pPr>
        <w:pStyle w:val="ListBullet"/>
        <w:spacing w:after="50" w:line="288" w:lineRule="auto"/>
      </w:pPr>
      <w:r>
        <w:rPr>
          <w:rFonts w:ascii="SimSun" w:hAnsi="SimSun" w:eastAsia="SimSun"/>
          <w:color w:val="000000"/>
          <w:sz w:val="21"/>
        </w:rPr>
        <w:t>所有期望指标同时说明先验、条件域、检测概率或失败代价，以及不能提供的尾部保证。</w:t>
      </w:r>
    </w:p>
    <w:p>
      <w:pPr>
        <w:pStyle w:val="ListBullet"/>
        <w:spacing w:after="50" w:line="288" w:lineRule="auto"/>
      </w:pPr>
      <w:r>
        <w:rPr>
          <w:rFonts w:ascii="SimSun" w:hAnsi="SimSun" w:eastAsia="SimSun"/>
          <w:color w:val="000000"/>
          <w:sz w:val="21"/>
        </w:rPr>
        <w:t>问题四只展示满足全域证书的最终策略；所有效率启发式明确不承担正确性保证。</w:t>
      </w:r>
    </w:p>
    <w:p>
      <w:pPr>
        <w:pStyle w:val="ListBullet"/>
        <w:spacing w:after="50" w:line="288" w:lineRule="auto"/>
      </w:pPr>
      <w:r>
        <w:rPr>
          <w:rFonts w:ascii="SimSun" w:hAnsi="SimSun" w:eastAsia="SimSun"/>
          <w:color w:val="000000"/>
          <w:sz w:val="21"/>
        </w:rPr>
        <w:t>图 1不遮挡数据且放大图保留原射线和颜色；图 4、图 13、图 16标注与正文一致。</w:t>
      </w:r>
    </w:p>
    <w:p>
      <w:pPr>
        <w:pStyle w:val="ListBullet"/>
        <w:spacing w:after="50" w:line="288" w:lineRule="auto"/>
      </w:pPr>
      <w:r>
        <w:rPr>
          <w:rFonts w:ascii="SimSun" w:hAnsi="SimSun" w:eastAsia="SimSun"/>
          <w:color w:val="000000"/>
          <w:sz w:val="21"/>
        </w:rPr>
        <w:t>物理误差、舍入余量和数值容差分开定义；度与弧度、长度与无量纲步长均有单位。</w:t>
      </w:r>
    </w:p>
    <w:p>
      <w:pPr>
        <w:pStyle w:val="ListBullet"/>
        <w:spacing w:after="50" w:line="288" w:lineRule="auto"/>
      </w:pPr>
      <w:r>
        <w:rPr>
          <w:rFonts w:ascii="SimSun" w:hAnsi="SimSun" w:eastAsia="SimSun"/>
          <w:color w:val="000000"/>
          <w:sz w:val="21"/>
        </w:rPr>
        <w:t>附录编号采用 A.1、B.1等一致形式；参考文献与附录分页；无大面积非意图留白。</w:t>
      </w:r>
    </w:p>
    <w:p>
      <w:pPr>
        <w:pStyle w:val="ListBullet"/>
        <w:spacing w:after="50" w:line="288" w:lineRule="auto"/>
      </w:pPr>
      <w:r>
        <w:rPr>
          <w:rFonts w:ascii="SimSun" w:hAnsi="SimSun" w:eastAsia="SimSun"/>
          <w:color w:val="000000"/>
          <w:sz w:val="21"/>
        </w:rPr>
        <w:t>重新编译后检查所有交叉引用、图表编号、页数、PDF 大小、匿名要求及支撑材料路径。</w:t>
      </w:r>
    </w:p>
    <w:p>
      <w:pPr>
        <w:pStyle w:val="Heading1"/>
      </w:pPr>
      <w:r>
        <w:t>八 审查边界</w:t>
      </w:r>
    </w:p>
    <w:p>
      <w:pPr>
        <w:keepNext w:val="0"/>
        <w:spacing w:before="0" w:after="200" w:line="300" w:lineRule="auto"/>
      </w:pPr>
      <w:r>
        <w:rPr>
          <w:rFonts w:ascii="SimSun" w:hAnsi="SimSun" w:eastAsia="SimSun"/>
          <w:b w:val="0"/>
          <w:i w:val="0"/>
          <w:color w:val="000000"/>
          <w:sz w:val="21"/>
        </w:rPr>
        <w:t>本报告对当前 PDF 全页进行了视觉检查，并读取了主要 LaTeX 源文件、原题和关键代码。问题二接收门控错误已用具体反例复核。由于任务要求是不执行论文修改，本次没有修正代码、重跑全量离线实验或编译新论文；因此凡可能受门控、目标口径或 fast 删除影响的统计，均以“需要重算确认”表述。报告没有把用户意见一概视为正确：第 2、5、6、9 点均作了限定或校正。另经规范化换行核对，Q4 冻结展示源码与当前源码内容一致，未发现语义漂移；全文也未发现未解析的 ref、cref 或 eqref。</w:t>
      </w:r>
    </w:p>
    <w:p>
      <w:pPr>
        <w:spacing w:before="320"/>
        <w:jc w:val="center"/>
      </w:pPr>
      <w:r>
        <w:rPr>
          <w:rFonts w:ascii="Microsoft YaHei" w:hAnsi="Microsoft YaHei" w:eastAsia="Microsoft YaHei"/>
          <w:b/>
          <w:color w:val="707780"/>
          <w:sz w:val="21"/>
        </w:rPr>
        <w:t>审查结束</w:t>
      </w:r>
    </w:p>
    <w:sectPr w:rsidR="00FC693F" w:rsidRPr="0006063C" w:rsidSect="00034616">
      <w:headerReference w:type="default" r:id="rId9"/>
      <w:footerReference w:type="default" r:id="rId10"/>
      <w:pgSz w:w="11906" w:h="16838"/>
      <w:pgMar w:top="1191" w:right="1219" w:bottom="1077"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707780"/>
        <w:sz w:val="17"/>
      </w:rPr>
      <w:t xml:space="preserve">第 </w:t>
      <w:fldChar w:fldCharType="begin"/>
      <w:instrText xml:space="preserve">PAGE</w:instrText>
      <w:fldChar w:fldCharType="end"/>
    </w:r>
    <w:r>
      <w:rPr>
        <w:rFonts w:ascii="Microsoft YaHei" w:hAnsi="Microsoft YaHei" w:eastAsia="Microsoft YaHei"/>
        <w:color w:val="7077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olor w:val="707780"/>
        <w:sz w:val="17"/>
      </w:rPr>
      <w:t>无线电干扰源定位与清除论文审查报告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90"/>
    </w:pPr>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ding">
    <w:name w:val="Finding"/>
    <w:pPr>
      <w:keepNext/>
      <w:spacing w:before="140" w:after="40"/>
    </w:pPr>
    <w:rPr>
      <w:rFonts w:ascii="Microsoft YaHei" w:hAnsi="Microsoft YaHei" w:eastAsia="Microsoft YaHei"/>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