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Document.xml" ContentType="application/vnd.openxmlformats-officedocument.wordprocessingml.comments+xml"/>
  <Override PartName="/word/commentsExtendedDocument.xml" ContentType="application/vnd.openxmlformats-officedocument.wordprocessingml.commentsExtended+xml"/>
  <Override PartName="/word/commentsIdsDocument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9DA2C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1BF39FB4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C428E6F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«КАЗАНСКИЙ (ПРИВОЛЖСКИЙ) ФЕДЕРАЛЬНЫЙ УНИВЕРСИТЕТ»</w:t>
      </w:r>
    </w:p>
    <w:p w14:paraId="505F348E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Вычислительной математики и информационных технологий</w:t>
      </w:r>
    </w:p>
    <w:p w14:paraId="6F700B91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3878ADAA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8AB337E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  <w:t xml:space="preserve">Отчет </w:t>
      </w:r>
    </w:p>
    <w:p w14:paraId="2AE32F5C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учебной практики (научно-исследовательская работа (получение первичных навыков научно-исследовательской работы))</w:t>
      </w:r>
    </w:p>
    <w:p w14:paraId="59E4753E" w14:textId="77777777" w:rsidR="003E5B67" w:rsidRDefault="003E5B67" w:rsidP="00913AB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72AC8F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52A60B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BB8C165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9E031E2" w14:textId="7D3AC9AD" w:rsidR="003E5B67" w:rsidRDefault="00C17C62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Обучающийся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proofErr w:type="spellStart"/>
      <w:r w:rsidR="00913ABF">
        <w:rPr>
          <w:rFonts w:ascii="Times New Roman" w:eastAsia="Times New Roman" w:hAnsi="Times New Roman" w:cs="Times New Roman"/>
          <w:sz w:val="28"/>
          <w:szCs w:val="28"/>
          <w:u w:val="single"/>
        </w:rPr>
        <w:t>Филадельфов</w:t>
      </w:r>
      <w:proofErr w:type="spellEnd"/>
      <w:r w:rsidR="00913ABF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Тихон Георгиевич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>гр.09-535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</w:t>
      </w:r>
    </w:p>
    <w:p w14:paraId="18E67E0D" w14:textId="77777777" w:rsidR="003E5B67" w:rsidRDefault="00C17C62">
      <w:pPr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(ФИО студента)</w:t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(Группа)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                   </w:t>
      </w: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 xml:space="preserve">   (</w:t>
      </w:r>
      <w:proofErr w:type="gramEnd"/>
      <w:r>
        <w:rPr>
          <w:rFonts w:ascii="Times New Roman" w:eastAsia="Times New Roman" w:hAnsi="Times New Roman" w:cs="Times New Roman"/>
          <w:sz w:val="16"/>
          <w:szCs w:val="16"/>
        </w:rPr>
        <w:t>Подпись)</w:t>
      </w:r>
    </w:p>
    <w:p w14:paraId="5D7E6F1E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14:paraId="5679CD28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CCBE35" w14:textId="77777777" w:rsidR="00913ABF" w:rsidRDefault="00913ABF" w:rsidP="00913ABF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A9B61F" w14:textId="77777777" w:rsidR="00913ABF" w:rsidRDefault="00913ABF" w:rsidP="00913AB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Научный руководитель:</w:t>
      </w:r>
    </w:p>
    <w:p w14:paraId="65BC85F2" w14:textId="77777777" w:rsidR="00913ABF" w:rsidRDefault="00913ABF" w:rsidP="00913AB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Доцент кафедры САИТ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Васильев А.В.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_________</w:t>
      </w:r>
    </w:p>
    <w:p w14:paraId="3C73F8BA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(Подпись)</w:t>
      </w:r>
    </w:p>
    <w:p w14:paraId="1FBD5AB7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E4DEECE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практики от КФУ:</w:t>
      </w:r>
    </w:p>
    <w:p w14:paraId="4ECF23E2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BA08724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ahoma" w:hAnsi="Times New Roman" w:cs="Times New Roman"/>
          <w:sz w:val="28"/>
          <w:szCs w:val="28"/>
        </w:rPr>
        <w:t>Доцент кафедры САИТ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Андрианова А.А.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586D5B73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65A2FDA" w14:textId="77777777" w:rsidR="003E5B67" w:rsidRDefault="00C17C62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за практику ______________________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__________________</w:t>
      </w:r>
    </w:p>
    <w:p w14:paraId="7CEABFAB" w14:textId="77777777" w:rsidR="003E5B67" w:rsidRDefault="00C17C62">
      <w:pPr>
        <w:spacing w:line="240" w:lineRule="auto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(Подпись)</w:t>
      </w:r>
    </w:p>
    <w:p w14:paraId="54C7FE87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77C612E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сдачи отчета «___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_»_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_________2026 г.</w:t>
      </w:r>
    </w:p>
    <w:p w14:paraId="19A8D6EA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D498122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7EBE30D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721A33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764045F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Казань – 2026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</w:rPr>
        <w:id w:val="59914871"/>
        <w:docPartObj>
          <w:docPartGallery w:val="Table of Contents"/>
          <w:docPartUnique/>
        </w:docPartObj>
      </w:sdtPr>
      <w:sdtContent>
        <w:p w14:paraId="3308954B" w14:textId="77777777" w:rsidR="003E5B67" w:rsidRDefault="00C17C62">
          <w:pPr>
            <w:pStyle w:val="af2"/>
            <w:spacing w:line="360" w:lineRule="auto"/>
            <w:jc w:val="center"/>
            <w:rPr>
              <w:rStyle w:val="af5"/>
              <w:rFonts w:cs="Times New Roman"/>
              <w:b w:val="0"/>
              <w:szCs w:val="28"/>
            </w:rPr>
          </w:pPr>
          <w:r>
            <w:rPr>
              <w:rStyle w:val="af5"/>
              <w:rFonts w:cs="Times New Roman"/>
              <w:color w:val="auto"/>
              <w:szCs w:val="28"/>
            </w:rPr>
            <w:t>СОДЕРЖАНИЕ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ВВЕДЕНИЕ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3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1. Классические нейронные сети и их обучение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4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2. Квантовая и гибридная модели в PennyLane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6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3. Программная реализация и методика экспериментов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7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4. Результаты экспериментов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9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ЗАКЛЮЧЕНИЕ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13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СПИСОК ИСПОЛЬЗОВАННЫХ ИСТОЧНИКОВ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15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ПРИЛОЖЕНИЯ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17</w:t>
          </w:r>
        </w:p>
      </w:sdtContent>
    </w:sdt>
    <w:p w14:paraId="67D1086A" w14:textId="77777777" w:rsidR="003E5B67" w:rsidRDefault="00C17C62">
      <w:pPr>
        <w:pStyle w:val="13"/>
        <w:pageBreakBefore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ВВЕДЕНИЕ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Учебная практика (научно-исследовательская работа (получение первичных навыков научно-исследовательской работы)) проходила на кафедре системного анализа и информационных технологий Института вычислительной математики и информационных технологий КФУ с 09 февраля 2026 по 06 июня 2026 года.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Тема работы связана с разработкой библиотеки для работы с квантовыми гибридными нейронными сетями. В первом семестре был выполнен анализ предметной области и существующих программных инструментов. Во втором семестре работа перешла в практическую плоскость. Основное внимание было уделено классическим нейронным сетям — они служат точкой отсчёта для любого сравнения, — а также практической проверке квантовой и гибридной моделей, построенных средствами библиотеки PennyLane [15].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работы — исследовать классические нейросетевые модели классификации и сравнить их с квантовой и гибридной моделями PennyLane. Для достижения цели решались следующие задачи: изучить устройство и методы обучения многослойного перцептрона; исследовать влияние архитектуры, скорости обучения и функции активации на качество классификации; исследовать переобучение и способы регуляризации; изучить принципы построения гибридных моделей в PennyLane; реализовать программу для обучения и сравнения моделей и провести эксперименты на пяти наборах данных с многократными запусками.</w:t>
      </w:r>
    </w:p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Классические нейронные сети и их обучение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Многослойный перцептрон (MLP) — последовательность полносвязных слоёв [1, 2]. Слой преобразует входной вектор x в вектор h = f(Wx + b), где W — матрица весов, b — вектор смещений, f — нелинейная функция активации, применяемая поэлементно. Без нелинейности несколько слоёв сводились бы к одному линейному преобразованию. В работе рассматриваются функции ReLU, f(z) = max(0, z), — стандартная для скрытых слоёв, и гиперболический тангенс tanh, ограничивающий выход интервалом (−1, 1).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Последний слой выдаёт по одному числу zₖ на каждый из K классов. Функция softmax переводит их в вероятности pₖ = exp(zₖ) / Σⱼ exp(zⱼ), а функцией потерь служит перекрёстная энтропия L = −ln p_y, где y — истинный класс. Обучение — минимизация средних потерь по обучающей выборке градиентным методом: параметры θ сдвигаются в направлении антиградиента, θ ← θ − η∇L, где η — скорость обучения. Градиенты по всем параметрам вычисляются методом обратного распространения ошибки, то есть последовательным применением правила дифференцирования сложной функции от выхода сети к входу [1, 2]. В PyTorch это выполняет механизм автоматического дифференцирования autograd [14].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обновления параметров используется оптимизатор Adam [10]. Он хранит скользящие средние градиента и его квадрата и за счёт этого подбирает величину шага отдельно для каждого параметра, что делает обучение менее чувствительным к выбору скорости обучения. Градиент на каждом шаге оценивается по пакету из 32 объектов, один проход по всей обучающей выборке называется эпохой.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Главная опасность при обучении — переобучение: модель с большим числом параметров запоминает обучающие примеры, включая шум, и хуже работает на новых данных [2, 3]. Признак переобучения — разрыв между точностью на обучающей и на тестовой выборке. Поэтому выборка делится на три части: обучающую, валидационную и тестовую. Параметры подбираются на обучающей части, валидационная используется для контроля обучения, а тестовая — только для итоговой оценки. Признаки предварительно стандартизуются, причём среднее и дисперсия вычисляются только по обучающей части [4].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работе рассматриваются два способа регуляризации. Ранняя остановка прекращает обучение, если потери на валидационной выборке не уменьшаются заданное число эпох подряд, и восстанавливает веса с наилучшей валидацией [12]. L2-регуляризация (weight decay) добавляет к функции потерь штраф λ‖θ‖², который удерживает веса вблизи нуля и делает функцию, реализуемую сетью, более гладкой [11].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Качество классификации оценивается четырьмя метриками [4, 5]. Accuracy — доля верных ответов. Precision класса — доля верных среди объектов, отнесённых моделью к этому классу, recall — доля найденных объектов класса, F1-score — их гармоническое среднее. Для многоклассовых задач precision, recall и F1 усредняются по классам с равными весами (macro-усреднение). Влияние архитектуры сети, скорости обучения, функции активации и регуляризации на эти метрики [3, 6] исследуется в разделах 4.1–4.3.</w:t>
      </w:r>
    </w:p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Квантовая и гибридная модели в PennyLane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Состояние кубита описывается двумя амплитудами: |ψ⟩ = α|0⟩ + β|1⟩, |α|² + |β|² = 1; при измерении он даёт 0 с вероятностью |α|² и 1 с вероятностью |β|² [8, 9]. Выходом квантовой схемы служит среднее значение ⟨Z⟩ = P(0) − P(1) для каждого кубита. Схема состоит из вращений кубитов на заданные углы и вентилей CNOT, связывающих кубиты между собой. Если часть углов задаётся входными данными, а часть обучается, схема становится обучаемой функцией [16]. Современные квантовые устройства невелики и зашумлены [18], а моделирование схем на обычном компьютере требует ресурсов, экспоненциально растущих с числом кубитов.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PennyLane [15] используются стандартные шаблоны: AngleEmbedding кодирует признаки в углы вращений, по одному на кубит; StronglyEntanglingLayers — обучаемый слой вращений и вентилей CNOT; обёртка qml.qnn.TorchLayer превращает схему в модуль PyTorch. На их основе построены две модели с четырьмя кубитами и двумя слоями. Квантовая сеть (Quantum QNN) подаёт признаки в схему напрямую, а четыре значения ⟨Z⟩ линейно отображает в классы. Гибридная модель (Hybrid QNN, рисунок 1) содержит классический энкодер — линейный слой и функцию (π/2)·tanh, переводящие признаки в четыре угла, — ту же схему и выходной слой [17].</w:t>
      </w:r>
    </w:p>
    <w:p w14:paraId="5B638E45" w14:textId="15F62CE1" w:rsidR="00E64E93" w:rsidRPr="00910DEC" w:rsidRDefault="00E64E93" w:rsidP="00E64E93">
      <w:pPr>
        <w:keepNext/>
        <w:snapToGrid w:val="0"/>
        <w:spacing w:line="360" w:lineRule="auto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4860000" cy="174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ybrid_p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49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1 – Гибридная модель Hybrid QNN на основе PennyLane</w:t>
      </w:r>
    </w:p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Программная реализация и методика экспериментов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Программа написана на Python с использованием PyTorch [14], PennyLane [15] и Scikit-Learn [13]. Этапы работы вынесены в отдельные модули (таблица 1), общая схема показана на рисунке 2. Все модели обучаются одной и той же процедурой, поэтому различия в результатах связаны с моделью, а не с условиями запуска.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1 – Модули программы</w:t>
      </w:r>
    </w:p>
    <w:tbl>
      <w:tblPr>
        <w:tblStyle w:val="TableNormal0"/>
        <w:tblW w:w="9355" w:type="dxa"/>
        <w:tblInd w:w="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8"/>
        <w:gridCol w:w="6917"/>
      </w:tblGrid>
      <w:tr w:rsidR="00E64E93" w:rsidRPr="00E64E93" w14:paraId="44E9C5B6" w14:textId="77777777" w:rsidTr="00C104BF">
        <w:trPr>
          <w:cantSplit/>
          <w:tblHeader/>
        </w:trPr>
        <w:tc>
          <w:tcPr>
            <w:tcW w:w="2438" w:type="dxa"/>
            <w:hideMark/>
          </w:tcPr>
          <w:p w14:paraId="3E1AA40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Модуль</w:t>
            </w:r>
          </w:p>
        </w:tc>
        <w:tc>
          <w:tcPr>
            <w:tcW w:w="6917" w:type="dxa"/>
            <w:hideMark/>
          </w:tcPr>
          <w:p w14:paraId="1F135D2A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Назначение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data.py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Загрузка наборов данных, стратифицированное разбиение, стандартизация, PCA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training.py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Обучение с ранней остановкой и регуляризацией, расчёт accuracy, precision, recall, F1-score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sem2_experiments.py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Модели MLP, Quantum QNN и Hybrid QNN, серии экспериментов, параллельный запуск, сохранение результатов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sem2_analysis.py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Сводные таблицы, критерий Уилкоксона, построение графиков</w:t>
            </w:r>
          </w:p>
        </w:tc>
      </w:tr>
    </w:tbl>
    <w:p w14:paraId="5B638E45" w14:textId="15F62CE1" w:rsidR="00E64E93" w:rsidRPr="00910DEC" w:rsidRDefault="00E64E93" w:rsidP="00E64E93">
      <w:pPr>
        <w:keepNext/>
        <w:snapToGrid w:val="0"/>
        <w:spacing w:line="360" w:lineRule="auto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220000" cy="1722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22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2 – Схема экспериментального пайплайна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Эксперименты проводились на пяти табличных наборах данных (таблица 2). Iris, Wine и Breast Cancer встроены в Scikit-Learn [13]; Moons и Circles — синтетические двумерные задачи, для которых нужна нелинейная граница между классами.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2 – Наборы данных</w:t>
      </w:r>
    </w:p>
    <w:tbl>
      <w:tblPr>
        <w:tblW w:w="9354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2041"/>
        <w:gridCol w:w="2041"/>
        <w:gridCol w:w="2154"/>
      </w:tblGrid>
      <w:tr w:rsidR="00E64E93" w:rsidRPr="00E64E93" w14:paraId="45A15725" w14:textId="77777777" w:rsidTr="00E7494F">
        <w:trPr>
          <w:cantSplit/>
          <w:tblCellSpacing w:w="0" w:type="dxa"/>
          <w:tblHeader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AE97BC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Набор данных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FFBCD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Объектов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FD8BFC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Признаков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EFF546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Классов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150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178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13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569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400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400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Данные делились стратифицированно на обучающую, валидационную и тестовую выборки в пропорции 60/20/20. Для Quantum QNN признаки Wine и Breast Cancer сжимались методом главных компонент до четырёх. Обучение: Adam со скоростью 0,01, пакет 32 объекта, до 300 эпох с ранней остановкой после 30 эпох без улучшения валидационных потерь, если в серии не указано иное.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Первый вариант эксперимента, выполненный в середине семестра, содержал по одному запуску каждой модели с фиксированным числом эпох, и его результаты оказались неустойчивыми: смена случайного разбиения меняла порядок моделей. Поэтому каждая конфигурация запускалась с десятью значениями seed (0–9), который задаёт и разбиение данных, и начальные веса, а модели сравнивались на одинаковых seed парным критерием Уилкоксона на уровне значимости 0,05 [7]. Проведено четыре серии экспериментов (таблица 3); запуски выполнялись параллельно в 11 процессах на ноутбуке с процессором Intel Core i7-9750H.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3 – Серии экспериментов</w:t>
      </w:r>
    </w:p>
    <w:tbl>
      <w:tblPr>
        <w:tblStyle w:val="TableNormal0"/>
        <w:tblW w:w="935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94"/>
        <w:gridCol w:w="5443"/>
        <w:gridCol w:w="1417"/>
      </w:tblGrid>
      <w:tr w:rsidR="00E7494F" w:rsidRPr="00E64E93" w14:paraId="7DFAB229" w14:textId="77777777" w:rsidTr="00E7494F">
        <w:trPr>
          <w:cantSplit/>
          <w:tblHeader/>
        </w:trPr>
        <w:tc>
          <w:tcPr>
            <w:tcW w:w="2494" w:type="dxa"/>
            <w:hideMark/>
          </w:tcPr>
          <w:p w14:paraId="6893B0A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Серия</w:t>
            </w:r>
          </w:p>
        </w:tc>
        <w:tc>
          <w:tcPr>
            <w:tcW w:w="5443" w:type="dxa"/>
            <w:hideMark/>
          </w:tcPr>
          <w:p w14:paraId="04EC5329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Что варьируется</w:t>
            </w:r>
          </w:p>
        </w:tc>
        <w:tc>
          <w:tcPr>
            <w:tcW w:w="1417" w:type="dxa"/>
            <w:hideMark/>
          </w:tcPr>
          <w:p w14:paraId="793EEC4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Запусков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Архитектура MLP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 конфигураций скрытых слоёв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Параметры обучения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скорость обучения 0,001 / 0,01 / 0,1 × ReLU и tanh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Регуляризация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ранняя остановка × weight decay 0 / 0,001 / 0,01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Сравнение с PennyLane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32–16, MLP равного размера, Hybrid QNN, Quantum QNN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200</w:t>
            </w:r>
          </w:p>
        </w:tc>
      </w:tr>
    </w:tbl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Результаты экспериментов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4.1 Архитектура перцептрона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первой серии исследовалось влияние архитектуры перцептрона: от одного скрытого слоя из 8 нейронов (266 параметров на Breast Cancer) до трёх слоёв 64–32–16 (4626 параметров). Результаты приведены в таблице 4.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4 – Accuracy перцептрона при разной архитектуре (среднее по 10 запускам)</w:t>
      </w:r>
    </w:p>
    <w:tbl>
      <w:tblPr>
        <w:tblW w:w="9353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474"/>
        <w:gridCol w:w="1134"/>
        <w:gridCol w:w="1077"/>
        <w:gridCol w:w="1077"/>
        <w:gridCol w:w="1360"/>
        <w:gridCol w:w="1077"/>
        <w:gridCol w:w="1077"/>
        <w:gridCol w:w="1077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Скрытые слои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Парам. (BC)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Среднее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266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0,977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0,931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32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1058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0,983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0,979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0,971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128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4226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0,931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32–16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1554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64–32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4130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0,943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0,977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0,994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64–32–16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4626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0,938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Различия между архитектурами малы: средняя по наборам accuracy лежит в пределах 0,966–0,971, что сопоставимо с разбросом между запусками. Заметно уступает только самая маленькая сеть на наборе Wine (0,969 против 0,981–0,986 у остальных): восьми нейронов недостаточно для 13 признаков и трёх классов. Увеличение сети сверх 32 нейронов не повышает качество, но ускоряет сходимость: ранняя остановка срабатывает в среднем через 160 эпох у сети из 8 нейронов и через 60 эпох у сети 64–32–16. Для небольших табличных наборов достаточно перцептрона с одним-двумя скрытыми слоями, а дальнейший рост числа параметров не окупается.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4.2 Скорость обучения и функция активации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Во второй серии для перцептрона 32–16 менялись скорость обучения (0,001, 0,01 и 0,1) и функция активации (таблица 5). Малый шаг 0,001 даёт наибольшую среднюю точность (0,971 для ReLU), но требует примерно в 2,4 раза больше эпох, чем шаг 0,01 (194 против 80). Большой шаг 0,1 ускоряет остановку (56 эпох), но снижает качество, заметнее всего на Wine (0,967 против 0,986): обучение становится менее устойчивым. Функция активации на результат почти не влияет — различия ReLU и tanh не превышают одного процентного пункта. В остальных сериях использовались ReLU и шаг 0,01 как компромисс между качеством и временем обучения.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5 – Accuracy перцептрона 32–16 при разной скорости обучения и функции активации</w:t>
      </w:r>
    </w:p>
    <w:tbl>
      <w:tblPr>
        <w:tblW w:w="935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814"/>
        <w:gridCol w:w="963"/>
        <w:gridCol w:w="963"/>
        <w:gridCol w:w="1304"/>
        <w:gridCol w:w="1020"/>
        <w:gridCol w:w="1077"/>
        <w:gridCol w:w="1247"/>
        <w:gridCol w:w="963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Активация, шаг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Среднее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Эпох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ReLU, 0,001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0,986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0,938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194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ReLU, 0,01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0,968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ReLU, 0,1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0,990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0,964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tanh, 0,001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0,978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0,980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0,921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207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tanh, 0,01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0,978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0,929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0,968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93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tanh, 0,1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0,953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0,972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0,974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0,991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57</w:t>
            </w:r>
          </w:p>
        </w:tc>
      </w:tr>
    </w:tbl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4.3 Переобучение и регуляризация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третьей серии исследовалось переобучение самой крупной сети 64–32–16. Она обучалась 300 эпох без ранней остановки и с ней, с разной силой L2-регуляризации (таблица 6). Для каждого варианта измерялась точность на обучающей и на тестовой выборке; их разность показывает степень переобучения.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6 – Переобучение перцептрона 64–32–16 (среднее по 5 наборам и 10 запускам)</w:t>
      </w:r>
    </w:p>
    <w:tbl>
      <w:tblPr>
        <w:tblW w:w="9353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927"/>
        <w:gridCol w:w="1474"/>
        <w:gridCol w:w="1474"/>
        <w:gridCol w:w="1474"/>
        <w:gridCol w:w="1587"/>
        <w:gridCol w:w="1417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Ранняя остановка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Weight decay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Accuracy (обуч.)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Accuracy (тест)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Разрыв, п. п.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Эпох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3,0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3,0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1,9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1,6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1,8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53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1,2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60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Без регуляризации сеть почти полностью запоминает обучающую выборку: точность на ней 0,996, а на тесте 0,966, разрыв 3,0 п. п. Ранняя остановка сокращает разрыв почти вдвое, до 1,6 п. п., немного повышает точность на тесте (0,969) и сокращает обучение в 5 раз: в среднем 60 эпох вместо 300. Сильнее всего она помогает на зашумлённом наборе Moons (0,938 против 0,924). Weight decay 0,01 уменьшает разрыв до 1,9 п. п. без ранней остановки и до 1,2 п. п. вместе с ней, тогда как значение 0,001 практически не действует. Точность на тесте при этом меняется мало: на небольших табличных наборах переобучение заметно по обучающей выборке, но слабо сказывается на качестве. Ранняя остановка оказалась самым полезным способом регуляризации — она одновременно защищает от переобучения и экономит время.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4.4 Сравнение с квантовой и гибридной моделями PennyLane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четвёртой серии перцептроны сравнивались с моделями PennyLane (таблица 7, рисунок 3). Кроме перцептрона 32–16 в сравнение включён перцептрон равного размера — с одним скрытым слоем, ширина которого подобрана так, чтобы число параметров совпадало с гибридной моделью (например, 59 параметров на Iris). Это позволяет отделить влияние архитектуры от влияния размера модели.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7 – Сравнение моделей (среднее по 10 запускам)</w:t>
      </w:r>
    </w:p>
    <w:tbl>
      <w:tblPr>
        <w:tblW w:w="9352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60"/>
        <w:gridCol w:w="2324"/>
        <w:gridCol w:w="1814"/>
        <w:gridCol w:w="1020"/>
        <w:gridCol w:w="1360"/>
        <w:gridCol w:w="1474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Набор</w:t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Модель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Accuracy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F1-score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Эпоха, мс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Параметров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 ± 0,035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8,5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739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равн. размера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 ± 0,035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6,3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0,970 ± 0,040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184,5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0,927 ± 0,047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165,3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 ± 0,019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10,9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1027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равн. размера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 ± 0,016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8,2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 ± 0,022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227,1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95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0,897 ± 0,063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0,899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215,9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 ± 0,012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28,4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1554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равн. размера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 ± 0,008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17,1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167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0,982 ± 0,009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610,8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0,895 ± 0,028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0,886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548,8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34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 ± 0,030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21,9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658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равн. размера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0,934 ± 0,021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0,934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16,9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0,905 ± 0,035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0,905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449,7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0,896 ± 0,026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401,3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34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 ± 0,006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23,4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658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равн. размера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0,994 ± 0,007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0,994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14,5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 ± 0,013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458,4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 ± 0,006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366,2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34</w:t>
            </w:r>
          </w:p>
        </w:tc>
      </w:tr>
    </w:tbl>
    <w:p w14:paraId="5B638E45" w14:textId="15F62CE1" w:rsidR="00E64E93" w:rsidRPr="00910DEC" w:rsidRDefault="00E64E93" w:rsidP="00E64E93">
      <w:pPr>
        <w:keepNext/>
        <w:snapToGrid w:val="0"/>
        <w:spacing w:line="360" w:lineRule="auto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4860000" cy="25201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_ac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201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3 – Accuracy классических моделей и моделей PennyLane (среднее ± стандартное отклонение)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Гибридная модель показала качество на уровне перцептронов: на Iris и Breast Cancer немного выше (0,970 и 0,982 против 0,957 и 0,976 у перцептрона 32–16), на Wine и Moons немного ниже (0,967 и 0,905 против 0,981 и 0,930). Ни одно из этих различий не является статистически значимым (по критерию Уилкоксона p от 0,062 до 0,75). Квантовая модель без энкодера значимо уступает гибридной на Iris, Wine и Breast Cancer — на 4,3–8,7 п. п. (p = 0,002 для Breast Cancer): признаки подаются в углы напрямую, а для Wine и Breast Cancer ещё и сжимаются до четырёх, и часть информации теряется. На двумерных Moons и Circles квантовая модель работает на уровне гибридной.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Цена квантовой части — время: эпоха гибридной модели примерно в 21 раз дольше, чем у перцептрона, а полное обучение — в 25–50 раз дольше, так как квантовая схема моделируется на классическом компьютере.</w:t>
      </w:r>
    </w:p>
    <w:p w14:paraId="5D9ED767" w14:textId="4D0959A4" w:rsidR="003E5B67" w:rsidRDefault="00C17C62" w:rsidP="00C104BF">
      <w:pPr>
        <w:pStyle w:val="13"/>
        <w:pageBreakBefore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ЗАКЛЮЧЕНИЕ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учебной практики была продолжена работа над темой, связанной с разработкой библиотеки для работы с квантовыми гибридными нейронными сетями. Во втором семестре была выполнена практическая часть: изучены классические нейросетевые модели, реализована программа для обучения и сравнения моделей и проведено 1100 обучений на пяти наборах данных, каждая конфигурация запускалась десять раз.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Исследование перцептрона показало, что на небольших табличных наборах качество слабо зависит от архитектуры (средняя accuracy 0,966–0,971); заметнее влияет скорость обучения, а шаг 0,1 делает обучение неустойчивым. Крупная сеть без регуляризации запоминает обучающую выборку (разрыв 3,0 п. п.); ранняя остановка сокращает разрыв до 1,6 п. п. и в 5 раз уменьшает число эпох, weight decay 0,01 дополнительно уменьшает разрыв.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Гибридная модель PennyLane показала качество на уровне перцептронов без статистически значимых различий, квантовая модель без энкодера уступила гибридной на 4,3–8,7 п. п. на наборах Iris, Wine и Breast Cancer. Обучение гибридной модели в десятки раз медленнее, чем перцептрона. Для систематического исследования, требующего тысяч обучений, такой скорости недостаточно — это определяет задачу следующего этапа магистерской работы: разработку собственной библиотеки с быстрым симулятором квантовых схем.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 время практики были реализованы следующие компетенции (таблица 8):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8 – Компетенции</w:t>
      </w:r>
    </w:p>
    <w:tbl>
      <w:tblPr>
        <w:tblW w:w="9354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474"/>
        <w:gridCol w:w="3628"/>
        <w:gridCol w:w="4252"/>
      </w:tblGrid>
      <w:bookmarkEnd w:id="14"/>
      <w:tr w:rsidR="003E5B67" w14:paraId="634494B7" w14:textId="77777777">
        <w:trPr>
          <w:cantSplit/>
          <w:jc w:val="center"/>
          <w:tblHeader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33675C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Шифр компетенции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11394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приобретаемой компетенции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908D5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освоения компетенции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УК-1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Проведён анализ классических нейросетевых моделей и инструментов квантового машинного обучения. Выявлены недостатки первого варианта эксперимента (один запуск, фиксированное число эпох) и выработана методика многократных запусков со статистической проверкой.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УК-4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современные коммуникативные технологии, 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Изучены англоязычные статьи и документация PyTorch, PennyLane и Scikit-Learn; результаты оформлены в виде отчёта и статьи.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УК-6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определять и реализовывать приоритеты собственной деятельности и способы ее совершенствования на основе самооценки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Спланированы этапы работы: изучение литературы, реализация программы, серии экспериментов, анализ результатов. Определены задачи следующего этапа магистерской работы.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ОПК-1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находить, формулировать и решать актуальные проблемы прикладной математики, фундаментальной информатики и информационных технологий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Сформулирована задача сравнения классических, квантовых и гибридных моделей классификации; определены критерии сравнения — качество классификации и время обучения.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ОПК-2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компьютерные/суперкомпьютерные методы, современное программное обеспечение (в том числе отечественного производства) для решения задач профессиональной деятельности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Разработана программа на Python с использованием PyTorch, PennyLane и Scikit-Learn; эксперименты выполнены параллельно в нескольких процессах.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ОПК-3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проводить анализ математических моделей, создавать инновационные методы решения прикладных задач профессиональной деятельности в области информатики и математического моделирования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Исследовано влияние архитектуры, параметров обучения и регуляризации на качество перцептрона; выполнено сравнение с квантовой и гибридной моделями на пяти наборах данных.</w:t>
            </w:r>
          </w:p>
        </w:tc>
      </w:tr>
    </w:tbl>
    <w:p w14:paraId="67D1086A" w14:textId="77777777" w:rsidR="003E5B67" w:rsidRDefault="00C17C62">
      <w:pPr>
        <w:pStyle w:val="13"/>
        <w:pageBreakBefore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СПИСОК ИСПОЛЬЗОВАННЫХ ИСТОЧНИКОВ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Хайкин, С. Нейронные сети: полный курс / С. Хайкин ; пер. с англ. — 2-е изд. — Москва : Вильямс, 2006. — 1104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Гудфеллоу, Я. Глубокое обучение / Я. Гудфеллоу, И. Бенджио, А. Курвилль ; пер. с англ. — Москва : ДМК Пресс, 2018. — 652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Николенко, С. Глубокое обучение. Погружение в мир нейронных сетей / С. Николенко, А. Кадурин, Е. Архангельская. — Санкт-Петербург : Питер, 2018. — 480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Жерон, О. Прикладное машинное обучение с помощью Scikit-Learn и TensorFlow / О. Жерон ; пер. с англ. — Санкт-Петербург : Альфа-книга, 2018. — 688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Рашка, С. Python и машинное обучение / С. Рашка ; пер. с англ. — Москва : ДМК Пресс, 2017. — 418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Шолле, Ф. Глубокое обучение на Python / Ф. Шолле ; пер. с англ. — Санкт-Петербург : Питер, 2018. — 400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Кобзарь, А. И. Прикладная математическая статистика. Для инженеров и научных работников / А. И. Кобзарь. — Москва : Физматлит, 2006. — 816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Нильсен, М. А. Квантовые вычисления и квантовая информация / М. А. Нильсен, И. Л. Чанг ; пер. с англ. — Москва : Мир, 2006. — 824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Прескилл, Дж. Квантовая информация и квантовые вычисления. Т. 1 / Дж. Прескилл ; пер. с англ. — Москва ; Ижевск : НИЦ «Регулярная и хаотическая динамика», 2008. — 464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Kingma, D. P. Adam: A method for stochastic optimization / D. P. Kingma, J. Ba // 3rd International Conference on Learning Representations (ICLR). — 2015. — URL: https://arxiv.org/abs/1412.6980 (дата обращения: 28.09.2026).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Krogh, A. A simple weight decay can improve generalization / A. Krogh, J. A. Hertz // Advances in Neural Information Processing Systems. — 1992. — Vol. 4. — P. 950–957.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Prechelt, L. Early stopping — but when? / L. Prechelt // Neural Networks: Tricks of the Trade. — Berlin : Springer, 1998. — P. 55–69.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Pedregosa, F. Scikit-learn: Machine learning in Python / F. Pedregosa [et al.] // Journal of Machine Learning Research. — 2011. — Vol. 12. — P. 2825–2830.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Paszke, A. PyTorch: An imperative style, high-performance deep learning library / A. Paszke [et al.] // Advances in Neural Information Processing Systems. — 2019. — Vol. 32.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Bergholm, V. PennyLane: Automatic differentiation of hybrid quantum-classical computations [Электронный ресурс] / V. Bergholm [et al.]. — URL: https://arxiv.org/abs/1811.04968 (дата обращения: 28.09.2026).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Schuld, M. Circuit-centric quantum classifiers / M. Schuld, A. Bocharov, K. M. Svore, N. Wiebe // Physical Review A. — 2020. — Vol. 101. — Art. 032308.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Mari, A. Transfer learning in hybrid classical-quantum neural networks / A. Mari, T. R. Bromley, J. Izaac [et al.] // Quantum. — 2020. — Vol. 4. — Art. 340.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Preskill, J. Quantum computing in the NISQ era and beyond / J. Preskill // Quantum. — 2018. — Vol. 2. — Art. 79.</w:t>
      </w:r>
    </w:p>
    <w:p w14:paraId="5D9ED767" w14:textId="4D0959A4" w:rsidR="003E5B67" w:rsidRDefault="00C17C62" w:rsidP="00C104BF">
      <w:pPr>
        <w:pStyle w:val="13"/>
        <w:pageBreakBefore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ПРИЛОЖЕНИЯ</w:t>
      </w:r>
    </w:p>
    <w:p w14:paraId="7136B5AB" w14:textId="257946F6" w:rsidR="00737685" w:rsidRDefault="00737685" w:rsidP="00737685">
      <w:pPr>
        <w:pStyle w:val="af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37685">
        <w:rPr>
          <w:rFonts w:ascii="Times New Roman" w:hAnsi="Times New Roman" w:cs="Times New Roman"/>
          <w:b/>
          <w:bCs/>
          <w:sz w:val="28"/>
          <w:szCs w:val="28"/>
        </w:rPr>
        <w:t xml:space="preserve">Приложение 1</w:t>
      </w:r>
    </w:p>
    <w:p w14:paraId="53DCAC4A" w14:textId="77777777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СРАВНИТЕЛЬНЫЙ АНАЛИЗ КЛАССИЧЕСКИХ, КВАНТОВЫХ И ГИБРИДНЫХ НЕЙРОННЫХ СЕТЕЙ</w:t>
      </w:r>
    </w:p>
    <w:p w14:paraId="53CA8047" w14:textId="77777777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Филадельфов Т. Г.</w:t>
      </w:r>
    </w:p>
    <w:p w14:paraId="22E62BCA" w14:textId="77777777" w:rsidR="00913ABF" w:rsidRPr="00913ABF" w:rsidRDefault="00913ABF" w:rsidP="00913ABF">
      <w:pPr>
        <w:spacing w:before="120" w:line="24" w:lineRule="atLeast"/>
        <w:jc w:val="center"/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</w:pPr>
      <w:r w:rsidRPr="00913ABF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  <w:t xml:space="preserve">Научный руководитель канд. физ.-мат. наук, доцент, заведующий кафедрой САИТ Васильев А. В.</w:t>
      </w:r>
    </w:p>
    <w:p w14:paraId="732AA425" w14:textId="77777777" w:rsidR="00913ABF" w:rsidRPr="00913ABF" w:rsidRDefault="00913ABF" w:rsidP="00913ABF">
      <w:pPr>
        <w:spacing w:before="120" w:line="24" w:lineRule="atLeast"/>
        <w:jc w:val="center"/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</w:pPr>
      <w:r w:rsidRPr="00913ABF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  <w:t xml:space="preserve">Казанский (Приволжский) федеральный университет, Институт вычислительной математики и информационных технологий</w:t>
      </w:r>
    </w:p>
    <w:p w14:paraId="435AA823" w14:textId="6B33A833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913ABF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Ipod050505@gmail.com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ВВЕДЕНИЕ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Искусственные нейронные сети — основной инструмент решения задач классификации [1, 2]. Одним из новых направлений являются квантовые и гибридные квантово-классические нейронные сети, в которых часть вычислений выполняет параметризованная квантовая схема [3, 4]. Открытым остаётся вопрос, дают ли такие модели выигрыш по сравнению с классическими сетями того же размера. В работе проводится сравнение классических, квантовой и гибридной моделей на пяти наборах данных с многократными запусками.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МОДЕЛИ И МЕТОДИКА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Сравнивались четыре модели: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многослойный перцептрон 32–16 с функцией активации ReLU;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перцептрон с одним скрытым слоем и тем же числом параметров, что у гибридной модели;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квантовая нейронная сеть: признаки кодируются в углы вращений четырёх кубитов, далее два вариационных слоя PennyLane [4] и линейный слой;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гибридная модель: классический энкодер, та же квантовая схема и выходной слой [5].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Наборы данных — Iris, Wine, Breast Cancer, Moons и Circles; обучение — Adam с ранней остановкой; каждая модель запускалась с десятью значениями seed, различия проверялись критерием Уилкоксона.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РЕЗУЛЬТАТЫ ЭКСПЕРИМЕНТОВ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Качество перцептрона слабо зависит от архитектуры (средняя accuracy 0,966–0,971), а ранняя остановка сокращает разрыв между обучающей и тестовой точностью с 3,0 до 1,6 п. п. Сравнение с моделями PennyLane приведено в таблице 1.</w:t>
      </w:r>
    </w:p>
    <w:p w14:paraId="52B9EFC0" w14:textId="77777777" w:rsidR="00913ABF" w:rsidRDefault="00913ABF" w:rsidP="00913ABF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Таблица 1 – Accuracy моделей (среднее по 10 запускам)</w:t>
      </w:r>
    </w:p>
    <w:tbl>
      <w:tblPr>
        <w:tblW w:w="935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35"/>
        <w:gridCol w:w="2154"/>
        <w:gridCol w:w="2154"/>
        <w:gridCol w:w="2211"/>
      </w:tblGrid>
      <w:tr w:rsidR="00913ABF" w:rsidRPr="00913ABF" w14:paraId="1F22EB7C" w14:textId="77777777" w:rsidTr="00913ABF">
        <w:trPr>
          <w:cantSplit/>
          <w:tblHeader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F8B77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Набор данных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3198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MLP 32–16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95422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Hybrid QNN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D73D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Quantum QNN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Iris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0,970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0,927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Wine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0,897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Breast Cancer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0,982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0,895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Moons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0,930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0,905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0,896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Circles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0,993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</w:tr>
    </w:tbl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Гибридная модель показала качество на уровне перцептрона без статистически значимых различий. Квантовая модель без энкодера уступила гибридной на 4,3–8,7 п. п. на наборах с четырьмя и более признаками. Обучение моделей PennyLane оказалось в десятки раз медленнее.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ЗАКЛЮЧЕНИЕ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На рассмотренных задачах гибридная модель не превосходит классический перцептрон того же размера, но существенно дороже в обучении. Для систематического исследования гибридных моделей необходим более быстрый инструмент моделирования квантовых схем, разработка которого является следующим этапом работы.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ЛИТЕРАТУРА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Гудфеллоу, Я. Глубокое обучение / Я. Гудфеллоу, И. Бенджио, А. Курвилль ; пер. с англ. — Москва : ДМК Пресс, 2018. — 652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Хайкин, С. Нейронные сети: полный курс / С. Хайкин ; пер. с англ. — 2-е изд. — Москва : Вильямс, 2006. — 1104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Нильсен, М. А. Квантовые вычисления и квантовая информация / М. А. Нильсен, И. Л. Чанг ; пер. с англ. — Москва : Мир, 2006. — 824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Bergholm, V. PennyLane: Automatic differentiation of hybrid quantum-classical computations [Электронный ресурс] / V. Bergholm [et al.]. — URL: https://arxiv.org/abs/1811.04968 (дата обращения: 28.09.2026).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Mari, A. Transfer learning in hybrid classical-quantum neural networks / A. Mari, T. R. Bromley, J. Izaac [et al.] // Quantum. — 2020. — Vol. 4. — Art. 340.</w:t>
      </w:r>
    </w:p>
    <w:p w14:paraId="08A6C415" w14:textId="077993C8" w:rsidR="003E5B67" w:rsidRPr="00737685" w:rsidRDefault="00737685" w:rsidP="00737685">
      <w:pPr>
        <w:pStyle w:val="13"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Приложение 2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Модели, использованные в экспериментах (файл sem2_experiments.py):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mlp(in_dim, n_classes, hidden, act="relu"):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from torch import nn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A = {"relu": nn.ReLU, "tanh": nn.Tanh}[act]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layers, d = [], in_dim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for h in hidden: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layers += [nn.Linear(d, h), A()]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d = h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layers.append(nn.Linear(d, n_classes))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nn.Sequential(*layers)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pl_layer(n_qubits=4, n_layers=2, diff_method="backprop"):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import pennylane as qml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dev = qml.device("default.qubit", wires=n_qubits)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@qml.qnode(dev, interface="torch", diff_method=diff_method)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def circuit(inputs, weights):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qml.AngleEmbedding(inputs, wires=range(n_qubits), rotation="Y")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qml.StronglyEntanglingLayers(weights, wires=range(n_qubits))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return [qml.expval(qml.PauliZ(q)) for q in range(n_qubits)]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qml.qnn.TorchLayer(circuit, {"weights": (n_layers, n_qubits, 3)})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pl_hybrid(in_dim, n_classes, n_qubits=4, n_layers=2):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import torch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from torch import nn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class Angles(nn.Module):  # (π/2)·tanh: углы кодирования в (−π/2, π/2)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def forward(self, x):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return 0.5 * math.pi * torch.tanh(x)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nn.Sequential(nn.Linear(in_dim, n_qubits), Angles(), pl_layer(n_qubits, n_layers),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             nn.Linear(n_qubits, n_classes))</w:t>
      </w:r>
    </w:p>
    <w:sectPr w:rsidR="00913ABF" w:rsidRPr="00913ABF">
      <w:footerReference w:type="default" r:id="rId17"/>
      <w:footerReference w:type="first" r:id="rId26"/>
      <w:footerReference w:type="even" r:id="rId27"/>
      <w:pgSz w:w="11909" w:h="16834"/>
      <w:pgMar w:top="1440" w:right="851" w:bottom="1440" w:left="1701" w:header="720" w:footer="720" w:gutter="0"/>
      <w:pgNumType w:start="1"/>
      <w:cols w:space="720"/>
      <w:titlePg/>
      <w:docGrid w:linePitch="360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Genius" w:date="2021-11-25T15:55:00Z" w:initials="G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Фрагменты в шаблоне, выделенные желтым, следует заменить на конкретное содержимое, зависящее от темы исследований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2710E8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7CB4A" w14:textId="77777777" w:rsidR="00B90B3D" w:rsidRDefault="00B90B3D">
      <w:pPr>
        <w:spacing w:line="240" w:lineRule="auto"/>
      </w:pPr>
      <w:r>
        <w:separator/>
      </w:r>
    </w:p>
  </w:endnote>
  <w:endnote w:type="continuationSeparator" w:id="0">
    <w:p w14:paraId="06C53E03" w14:textId="77777777" w:rsidR="00B90B3D" w:rsidRDefault="00B90B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4177913"/>
      <w:docPartObj>
        <w:docPartGallery w:val="Page Numbers (Bottom of Page)"/>
        <w:docPartUnique/>
      </w:docPartObj>
    </w:sdtPr>
    <w:sdtContent>
      <w:p w14:paraId="78E77449" w14:textId="77777777" w:rsidR="003E5B67" w:rsidRDefault="00C17C62">
        <w:pPr>
          <w:pStyle w:val="afe"/>
          <w:jc w:val="center"/>
          <w:rPr>
            <w:rFonts w:ascii="Times New Roman" w:hAnsi="Times New Roman" w:cs="Times New Roman" w:eastAsia="Times New Roman"/>
            <w:sz w:val="24"/>
            <w:szCs w:val="24"/>
          </w:rPr>
        </w:pP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 w:eastAsia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 w:eastAsia="Times New Roman"/>
            <w:sz w:val="24"/>
            <w:szCs w:val="24"/>
          </w:rPr>
          <w:t>3</w:t>
        </w: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end"/>
        </w:r>
      </w:p>
    </w:sdtContent>
  </w:sdt>
  <w:p w14:paraId="626508CE" w14:textId="77777777" w:rsidR="003E5B67" w:rsidRDefault="003E5B67">
    <w:pPr>
      <w:pStyle w:val="afe"/>
      <w:rPr>
        <w:rFonts w:ascii="Times New Roman" w:hAnsi="Times New Roman" w:cs="Times New Roman" w:eastAsia="Times New Roman"/>
        <w:sz w:val="24"/>
        <w:szCs w:val="24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rFonts w:ascii="Times New Roman" w:hAnsi="Times New Roman" w:cs="Times New Roman" w:eastAsia="Times New Roman"/>
        <w:sz w:val="24"/>
        <w:szCs w:val="24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rFonts w:ascii="Times New Roman" w:hAnsi="Times New Roman" w:cs="Times New Roman" w:eastAsia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CAB032" w14:textId="77777777" w:rsidR="00B90B3D" w:rsidRDefault="00B90B3D">
      <w:pPr>
        <w:spacing w:line="240" w:lineRule="auto"/>
      </w:pPr>
      <w:r>
        <w:separator/>
      </w:r>
    </w:p>
  </w:footnote>
  <w:footnote w:type="continuationSeparator" w:id="0">
    <w:p w14:paraId="7E8F604A" w14:textId="77777777" w:rsidR="00B90B3D" w:rsidRDefault="00B90B3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A678B"/>
    <w:multiLevelType w:val="multilevel"/>
    <w:tmpl w:val="1B6EA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00F90"/>
    <w:multiLevelType w:val="hybridMultilevel"/>
    <w:tmpl w:val="86F6EE1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50E5BDF"/>
    <w:multiLevelType w:val="multilevel"/>
    <w:tmpl w:val="7590A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4738F1"/>
    <w:multiLevelType w:val="hybridMultilevel"/>
    <w:tmpl w:val="FFFFFFFF"/>
    <w:lvl w:ilvl="0" w:tplc="4D4CE902">
      <w:start w:val="1"/>
      <w:numFmt w:val="bullet"/>
      <w:lvlText w:val=""/>
      <w:lvlJc w:val="left"/>
      <w:pPr>
        <w:ind w:left="1505" w:hanging="360"/>
      </w:pPr>
      <w:rPr>
        <w:rFonts w:ascii="Symbol" w:hAnsi="Symbol" w:hint="default"/>
      </w:rPr>
    </w:lvl>
    <w:lvl w:ilvl="1" w:tplc="9D1E14B2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46FA55DA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6125C1C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75823FA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B8646A7C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AC525A98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CE948812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9566FE5A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4" w15:restartNumberingAfterBreak="0">
    <w:nsid w:val="36C61242"/>
    <w:multiLevelType w:val="multilevel"/>
    <w:tmpl w:val="DCC2A62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930B34"/>
    <w:multiLevelType w:val="hybridMultilevel"/>
    <w:tmpl w:val="FFFFFFFF"/>
    <w:lvl w:ilvl="0" w:tplc="0A7234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DA4624A">
      <w:start w:val="1"/>
      <w:numFmt w:val="lowerLetter"/>
      <w:lvlText w:val="%2."/>
      <w:lvlJc w:val="left"/>
      <w:pPr>
        <w:ind w:left="1789" w:hanging="360"/>
      </w:pPr>
    </w:lvl>
    <w:lvl w:ilvl="2" w:tplc="0A942E06">
      <w:start w:val="1"/>
      <w:numFmt w:val="lowerRoman"/>
      <w:lvlText w:val="%3."/>
      <w:lvlJc w:val="right"/>
      <w:pPr>
        <w:ind w:left="2509" w:hanging="180"/>
      </w:pPr>
    </w:lvl>
    <w:lvl w:ilvl="3" w:tplc="1B26D258">
      <w:start w:val="1"/>
      <w:numFmt w:val="decimal"/>
      <w:lvlText w:val="%4."/>
      <w:lvlJc w:val="left"/>
      <w:pPr>
        <w:ind w:left="3229" w:hanging="360"/>
      </w:pPr>
    </w:lvl>
    <w:lvl w:ilvl="4" w:tplc="10E8EFE2">
      <w:start w:val="1"/>
      <w:numFmt w:val="lowerLetter"/>
      <w:lvlText w:val="%5."/>
      <w:lvlJc w:val="left"/>
      <w:pPr>
        <w:ind w:left="3949" w:hanging="360"/>
      </w:pPr>
    </w:lvl>
    <w:lvl w:ilvl="5" w:tplc="5514589E">
      <w:start w:val="1"/>
      <w:numFmt w:val="lowerRoman"/>
      <w:lvlText w:val="%6."/>
      <w:lvlJc w:val="right"/>
      <w:pPr>
        <w:ind w:left="4669" w:hanging="180"/>
      </w:pPr>
    </w:lvl>
    <w:lvl w:ilvl="6" w:tplc="1CA8D888">
      <w:start w:val="1"/>
      <w:numFmt w:val="decimal"/>
      <w:lvlText w:val="%7."/>
      <w:lvlJc w:val="left"/>
      <w:pPr>
        <w:ind w:left="5389" w:hanging="360"/>
      </w:pPr>
    </w:lvl>
    <w:lvl w:ilvl="7" w:tplc="5EF68DD0">
      <w:start w:val="1"/>
      <w:numFmt w:val="lowerLetter"/>
      <w:lvlText w:val="%8."/>
      <w:lvlJc w:val="left"/>
      <w:pPr>
        <w:ind w:left="6109" w:hanging="360"/>
      </w:pPr>
    </w:lvl>
    <w:lvl w:ilvl="8" w:tplc="E4ECF584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C3971B0"/>
    <w:multiLevelType w:val="multilevel"/>
    <w:tmpl w:val="B44AE7EA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1F6510"/>
    <w:multiLevelType w:val="multilevel"/>
    <w:tmpl w:val="566844B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A31444"/>
    <w:multiLevelType w:val="hybridMultilevel"/>
    <w:tmpl w:val="FFFFFFFF"/>
    <w:lvl w:ilvl="0" w:tplc="65CA5434">
      <w:start w:val="1"/>
      <w:numFmt w:val="decimal"/>
      <w:lvlText w:val="%1."/>
      <w:lvlJc w:val="left"/>
      <w:pPr>
        <w:ind w:left="720" w:hanging="360"/>
      </w:pPr>
    </w:lvl>
    <w:lvl w:ilvl="1" w:tplc="C1A0C342">
      <w:start w:val="1"/>
      <w:numFmt w:val="lowerLetter"/>
      <w:lvlText w:val="%2."/>
      <w:lvlJc w:val="left"/>
      <w:pPr>
        <w:ind w:left="1440" w:hanging="360"/>
      </w:pPr>
    </w:lvl>
    <w:lvl w:ilvl="2" w:tplc="5B2C2148">
      <w:start w:val="1"/>
      <w:numFmt w:val="lowerRoman"/>
      <w:lvlText w:val="%3."/>
      <w:lvlJc w:val="right"/>
      <w:pPr>
        <w:ind w:left="2160" w:hanging="180"/>
      </w:pPr>
    </w:lvl>
    <w:lvl w:ilvl="3" w:tplc="31FC1092">
      <w:start w:val="1"/>
      <w:numFmt w:val="decimal"/>
      <w:lvlText w:val="%4."/>
      <w:lvlJc w:val="left"/>
      <w:pPr>
        <w:ind w:left="2880" w:hanging="360"/>
      </w:pPr>
    </w:lvl>
    <w:lvl w:ilvl="4" w:tplc="13D41AE0">
      <w:start w:val="1"/>
      <w:numFmt w:val="lowerLetter"/>
      <w:lvlText w:val="%5."/>
      <w:lvlJc w:val="left"/>
      <w:pPr>
        <w:ind w:left="3600" w:hanging="360"/>
      </w:pPr>
    </w:lvl>
    <w:lvl w:ilvl="5" w:tplc="746017A6">
      <w:start w:val="1"/>
      <w:numFmt w:val="lowerRoman"/>
      <w:lvlText w:val="%6."/>
      <w:lvlJc w:val="right"/>
      <w:pPr>
        <w:ind w:left="4320" w:hanging="180"/>
      </w:pPr>
    </w:lvl>
    <w:lvl w:ilvl="6" w:tplc="7E66B200">
      <w:start w:val="1"/>
      <w:numFmt w:val="decimal"/>
      <w:lvlText w:val="%7."/>
      <w:lvlJc w:val="left"/>
      <w:pPr>
        <w:ind w:left="5040" w:hanging="360"/>
      </w:pPr>
    </w:lvl>
    <w:lvl w:ilvl="7" w:tplc="5008DB0E">
      <w:start w:val="1"/>
      <w:numFmt w:val="lowerLetter"/>
      <w:lvlText w:val="%8."/>
      <w:lvlJc w:val="left"/>
      <w:pPr>
        <w:ind w:left="5760" w:hanging="360"/>
      </w:pPr>
    </w:lvl>
    <w:lvl w:ilvl="8" w:tplc="4D38B02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4F5765"/>
    <w:multiLevelType w:val="multilevel"/>
    <w:tmpl w:val="8140E55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6012BA"/>
    <w:multiLevelType w:val="hybridMultilevel"/>
    <w:tmpl w:val="90AA70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365036">
    <w:abstractNumId w:val="8"/>
  </w:num>
  <w:num w:numId="2" w16cid:durableId="65763762">
    <w:abstractNumId w:val="3"/>
  </w:num>
  <w:num w:numId="3" w16cid:durableId="1215309630">
    <w:abstractNumId w:val="5"/>
  </w:num>
  <w:num w:numId="4" w16cid:durableId="248196189">
    <w:abstractNumId w:val="2"/>
  </w:num>
  <w:num w:numId="5" w16cid:durableId="26873454">
    <w:abstractNumId w:val="10"/>
  </w:num>
  <w:num w:numId="6" w16cid:durableId="199174980">
    <w:abstractNumId w:val="1"/>
  </w:num>
  <w:num w:numId="7" w16cid:durableId="1380319332">
    <w:abstractNumId w:val="0"/>
  </w:num>
  <w:num w:numId="8" w16cid:durableId="114372562">
    <w:abstractNumId w:val="9"/>
  </w:num>
  <w:num w:numId="9" w16cid:durableId="2016489413">
    <w:abstractNumId w:val="7"/>
  </w:num>
  <w:num w:numId="10" w16cid:durableId="1279993668">
    <w:abstractNumId w:val="6"/>
  </w:num>
  <w:num w:numId="11" w16cid:durableId="13551565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B67"/>
    <w:rsid w:val="003E5B67"/>
    <w:rsid w:val="00457A73"/>
    <w:rsid w:val="005E6162"/>
    <w:rsid w:val="00737685"/>
    <w:rsid w:val="00910DEC"/>
    <w:rsid w:val="00913ABF"/>
    <w:rsid w:val="00B90B3D"/>
    <w:rsid w:val="00C104BF"/>
    <w:rsid w:val="00C17C62"/>
    <w:rsid w:val="00D2633E"/>
    <w:rsid w:val="00E64E93"/>
    <w:rsid w:val="00E7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95072"/>
  <w15:docId w15:val="{B07D54AF-FED8-F64E-9F2E-7BEBD604B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line="240" w:lineRule="auto"/>
    </w:pPr>
  </w:style>
  <w:style w:type="character" w:customStyle="1" w:styleId="a4">
    <w:name w:val="Заголовок Знак"/>
    <w:basedOn w:val="a0"/>
    <w:link w:val="a5"/>
    <w:uiPriority w:val="10"/>
    <w:rPr>
      <w:sz w:val="48"/>
      <w:szCs w:val="48"/>
    </w:rPr>
  </w:style>
  <w:style w:type="character" w:customStyle="1" w:styleId="a6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af1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Subtitle"/>
    <w:basedOn w:val="a"/>
    <w:next w:val="a"/>
    <w:link w:val="a6"/>
    <w:pPr>
      <w:keepNext/>
      <w:keepLines/>
      <w:spacing w:after="320"/>
    </w:pPr>
    <w:rPr>
      <w:color w:val="666666"/>
      <w:sz w:val="30"/>
      <w:szCs w:val="30"/>
    </w:rPr>
  </w:style>
  <w:style w:type="paragraph" w:styleId="af2">
    <w:name w:val="TOC Heading"/>
    <w:basedOn w:val="1"/>
    <w:next w:val="a"/>
    <w:uiPriority w:val="39"/>
    <w:unhideWhenUsed/>
    <w:qFormat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qFormat/>
    <w:pPr>
      <w:spacing w:before="120"/>
    </w:pPr>
    <w:rPr>
      <w:rFonts w:ascii="Times New Roman" w:hAnsi="Times New Roman"/>
      <w:bCs/>
      <w:caps/>
      <w:color w:val="000000" w:themeColor="text1"/>
      <w:sz w:val="28"/>
      <w:szCs w:val="20"/>
    </w:rPr>
  </w:style>
  <w:style w:type="character" w:styleId="af3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af4">
    <w:name w:val="ОГЛАВЛЕНИЕ"/>
    <w:basedOn w:val="a"/>
    <w:next w:val="a"/>
    <w:link w:val="af5"/>
    <w:qFormat/>
    <w:pPr>
      <w:spacing w:line="240" w:lineRule="auto"/>
      <w:jc w:val="center"/>
    </w:pPr>
    <w:rPr>
      <w:rFonts w:ascii="Times New Roman" w:hAnsi="Times New Roman"/>
      <w:b/>
      <w:sz w:val="28"/>
    </w:rPr>
  </w:style>
  <w:style w:type="character" w:customStyle="1" w:styleId="af5">
    <w:name w:val="ОГЛАВЛЕНИЕ Знак"/>
    <w:basedOn w:val="a0"/>
    <w:link w:val="af4"/>
    <w:rPr>
      <w:rFonts w:ascii="Times New Roman" w:hAnsi="Times New Roman"/>
      <w:b/>
      <w:sz w:val="28"/>
    </w:rPr>
  </w:style>
  <w:style w:type="paragraph" w:styleId="32">
    <w:name w:val="toc 3"/>
    <w:basedOn w:val="a"/>
    <w:next w:val="a"/>
    <w:uiPriority w:val="39"/>
    <w:unhideWhenUsed/>
    <w:pPr>
      <w:ind w:left="440"/>
    </w:pPr>
    <w:rPr>
      <w:rFonts w:asciiTheme="minorHAnsi" w:hAnsiTheme="minorHAnsi"/>
      <w:i/>
      <w:iCs/>
      <w:sz w:val="20"/>
      <w:szCs w:val="20"/>
    </w:rPr>
  </w:style>
  <w:style w:type="paragraph" w:styleId="24">
    <w:name w:val="toc 2"/>
    <w:basedOn w:val="2"/>
    <w:next w:val="a"/>
    <w:uiPriority w:val="39"/>
    <w:unhideWhenUsed/>
    <w:pPr>
      <w:keepNext w:val="0"/>
      <w:keepLines w:val="0"/>
      <w:spacing w:before="0" w:after="0"/>
      <w:ind w:left="220"/>
      <w:outlineLvl w:val="9"/>
    </w:pPr>
    <w:rPr>
      <w:rFonts w:ascii="Times New Roman" w:hAnsi="Times New Roman"/>
      <w:smallCaps/>
      <w:color w:val="000000" w:themeColor="text1"/>
      <w:sz w:val="28"/>
      <w:szCs w:val="20"/>
    </w:rPr>
  </w:style>
  <w:style w:type="paragraph" w:styleId="42">
    <w:name w:val="toc 4"/>
    <w:basedOn w:val="a"/>
    <w:next w:val="a"/>
    <w:uiPriority w:val="39"/>
    <w:unhideWhenUsed/>
    <w:pPr>
      <w:ind w:left="660"/>
    </w:pPr>
    <w:rPr>
      <w:rFonts w:asciiTheme="minorHAnsi" w:hAnsiTheme="minorHAnsi"/>
      <w:sz w:val="18"/>
      <w:szCs w:val="18"/>
    </w:rPr>
  </w:style>
  <w:style w:type="paragraph" w:styleId="52">
    <w:name w:val="toc 5"/>
    <w:basedOn w:val="a"/>
    <w:next w:val="a"/>
    <w:uiPriority w:val="39"/>
    <w:unhideWhenUsed/>
    <w:pPr>
      <w:ind w:left="880"/>
    </w:pPr>
    <w:rPr>
      <w:rFonts w:asciiTheme="minorHAnsi" w:hAnsiTheme="minorHAnsi"/>
      <w:sz w:val="18"/>
      <w:szCs w:val="18"/>
    </w:rPr>
  </w:style>
  <w:style w:type="paragraph" w:styleId="61">
    <w:name w:val="toc 6"/>
    <w:basedOn w:val="a"/>
    <w:next w:val="a"/>
    <w:uiPriority w:val="39"/>
    <w:unhideWhenUsed/>
    <w:pPr>
      <w:ind w:left="1100"/>
    </w:pPr>
    <w:rPr>
      <w:rFonts w:asciiTheme="minorHAnsi" w:hAnsiTheme="minorHAnsi"/>
      <w:sz w:val="18"/>
      <w:szCs w:val="18"/>
    </w:rPr>
  </w:style>
  <w:style w:type="paragraph" w:styleId="71">
    <w:name w:val="toc 7"/>
    <w:basedOn w:val="a"/>
    <w:next w:val="a"/>
    <w:uiPriority w:val="39"/>
    <w:unhideWhenUsed/>
    <w:pPr>
      <w:ind w:left="1320"/>
    </w:pPr>
    <w:rPr>
      <w:rFonts w:asciiTheme="minorHAnsi" w:hAnsiTheme="minorHAnsi"/>
      <w:sz w:val="18"/>
      <w:szCs w:val="18"/>
    </w:rPr>
  </w:style>
  <w:style w:type="paragraph" w:styleId="81">
    <w:name w:val="toc 8"/>
    <w:basedOn w:val="a"/>
    <w:next w:val="a"/>
    <w:uiPriority w:val="39"/>
    <w:unhideWhenUsed/>
    <w:pPr>
      <w:ind w:left="1540"/>
    </w:pPr>
    <w:rPr>
      <w:rFonts w:asciiTheme="minorHAnsi" w:hAnsiTheme="minorHAnsi"/>
      <w:sz w:val="18"/>
      <w:szCs w:val="18"/>
    </w:rPr>
  </w:style>
  <w:style w:type="paragraph" w:styleId="91">
    <w:name w:val="toc 9"/>
    <w:basedOn w:val="a"/>
    <w:next w:val="a"/>
    <w:uiPriority w:val="39"/>
    <w:unhideWhenUsed/>
    <w:pPr>
      <w:ind w:left="1760"/>
    </w:pPr>
    <w:rPr>
      <w:rFonts w:asciiTheme="minorHAnsi" w:hAnsiTheme="minorHAnsi"/>
      <w:sz w:val="18"/>
      <w:szCs w:val="18"/>
    </w:rPr>
  </w:style>
  <w:style w:type="paragraph" w:customStyle="1" w:styleId="13">
    <w:name w:val="ЗАГОЛОВОК 1"/>
    <w:basedOn w:val="1"/>
    <w:next w:val="af6"/>
    <w:link w:val="14"/>
    <w:qFormat/>
    <w:pPr>
      <w:spacing w:line="360" w:lineRule="auto"/>
      <w:ind w:firstLine="709"/>
      <w:jc w:val="center"/>
    </w:pPr>
    <w:rPr>
      <w:rFonts w:ascii="Times New Roman" w:hAnsi="Times New Roman"/>
      <w:b/>
      <w:sz w:val="28"/>
    </w:rPr>
  </w:style>
  <w:style w:type="paragraph" w:customStyle="1" w:styleId="15">
    <w:name w:val="Заголовок1"/>
    <w:basedOn w:val="1"/>
    <w:link w:val="16"/>
    <w:qFormat/>
    <w:pPr>
      <w:spacing w:line="360" w:lineRule="auto"/>
    </w:pPr>
    <w:rPr>
      <w:rFonts w:ascii="Times New Roman" w:hAnsi="Times New Roman"/>
      <w:b/>
      <w:sz w:val="28"/>
    </w:rPr>
  </w:style>
  <w:style w:type="character" w:customStyle="1" w:styleId="10">
    <w:name w:val="Заголовок 1 Знак"/>
    <w:basedOn w:val="a0"/>
    <w:link w:val="1"/>
    <w:rPr>
      <w:sz w:val="40"/>
      <w:szCs w:val="40"/>
    </w:rPr>
  </w:style>
  <w:style w:type="character" w:customStyle="1" w:styleId="14">
    <w:name w:val="ЗАГОЛОВОК 1 Знак"/>
    <w:basedOn w:val="10"/>
    <w:link w:val="13"/>
    <w:rPr>
      <w:rFonts w:ascii="Times New Roman" w:hAnsi="Times New Roman"/>
      <w:b/>
      <w:sz w:val="28"/>
      <w:szCs w:val="40"/>
    </w:rPr>
  </w:style>
  <w:style w:type="paragraph" w:styleId="af6">
    <w:name w:val="Body Text"/>
    <w:basedOn w:val="a"/>
    <w:link w:val="af7"/>
    <w:uiPriority w:val="99"/>
    <w:semiHidden/>
    <w:unhideWhenUsed/>
    <w:pPr>
      <w:spacing w:after="120"/>
    </w:pPr>
  </w:style>
  <w:style w:type="character" w:customStyle="1" w:styleId="af7">
    <w:name w:val="Основной текст Знак"/>
    <w:basedOn w:val="a0"/>
    <w:link w:val="af6"/>
    <w:uiPriority w:val="99"/>
    <w:semiHidden/>
  </w:style>
  <w:style w:type="character" w:customStyle="1" w:styleId="16">
    <w:name w:val="Заголовок1 Знак"/>
    <w:basedOn w:val="10"/>
    <w:link w:val="15"/>
    <w:rPr>
      <w:rFonts w:ascii="Times New Roman" w:hAnsi="Times New Roman"/>
      <w:b/>
      <w:sz w:val="28"/>
      <w:szCs w:val="40"/>
    </w:rPr>
  </w:style>
  <w:style w:type="paragraph" w:styleId="af8">
    <w:name w:val="List Paragraph"/>
    <w:basedOn w:val="a"/>
    <w:uiPriority w:val="34"/>
    <w:qFormat/>
    <w:pPr>
      <w:ind w:left="720"/>
      <w:contextualSpacing/>
    </w:pPr>
  </w:style>
  <w:style w:type="character" w:styleId="af9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a">
    <w:name w:val="Balloon Text"/>
    <w:basedOn w:val="a"/>
    <w:link w:val="afb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paragraph" w:styleId="afc">
    <w:name w:val="header"/>
    <w:basedOn w:val="a"/>
    <w:link w:val="afd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table" w:styleId="aff0">
    <w:name w:val="Table Grid"/>
    <w:basedOn w:val="a1"/>
    <w:uiPriority w:val="39"/>
    <w:unhideWhenUsed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1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2">
    <w:name w:val="annotation text"/>
    <w:basedOn w:val="a"/>
    <w:link w:val="aff3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f3">
    <w:name w:val="Текст примечания Знак"/>
    <w:basedOn w:val="a0"/>
    <w:link w:val="aff2"/>
    <w:uiPriority w:val="99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Pr>
      <w:b/>
      <w:bCs/>
    </w:rPr>
  </w:style>
  <w:style w:type="character" w:customStyle="1" w:styleId="aff5">
    <w:name w:val="Тема примечания Знак"/>
    <w:basedOn w:val="aff3"/>
    <w:link w:val="aff4"/>
    <w:uiPriority w:val="99"/>
    <w:semiHidden/>
    <w:rPr>
      <w:b/>
      <w:bCs/>
      <w:sz w:val="20"/>
      <w:szCs w:val="20"/>
    </w:rPr>
  </w:style>
  <w:style w:type="paragraph" w:customStyle="1" w:styleId="docdata">
    <w:name w:val="docdata"/>
    <w:aliases w:val="docy,v5,4301,bqiaagaaeyqcaaagiaiaaam0eaaabuiqaaaaaaaaaaaaaaaaaaaaaaaaaaaaaaaaaaaaaaaaaaaaaaaaaaaaaaaaaaaaaaaaaaaaaaaaaaaaaaaaaaaaaaaaaaaaaaaaaaaaaaaaaaaaaaaaaaaaaaaaaaaaaaaaaaaaaaaaaaaaaaaaaaaaaaaaaaaaaaaaaaaaaaaaaaaaaaaaaaaaaaaaaaaaaaaaaaaaaaaa"/>
    <w:basedOn w:val="a"/>
    <w:rsid w:val="00910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f6">
    <w:name w:val="Normal (Web)"/>
    <w:basedOn w:val="a"/>
    <w:uiPriority w:val="99"/>
    <w:semiHidden/>
    <w:unhideWhenUsed/>
    <w:rsid w:val="00910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910DEC"/>
  </w:style>
  <w:style w:type="paragraph" w:customStyle="1" w:styleId="p1">
    <w:name w:val="p1"/>
    <w:basedOn w:val="a"/>
    <w:rsid w:val="00C104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a0"/>
    <w:rsid w:val="00737685"/>
  </w:style>
  <w:style w:type="paragraph" w:customStyle="1" w:styleId="p3">
    <w:name w:val="p3"/>
    <w:basedOn w:val="a"/>
    <w:rsid w:val="00913A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5">
    <w:name w:val="p5"/>
    <w:basedOn w:val="a"/>
    <w:rsid w:val="00913A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nlyoffice.com/commentsExtendedDocument" Target="commentsExtendedDocument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nlyoffice.com/commentsDocument" Target="comments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nlyoffice.com/commentsIdsDocument" Target="commentsIdsDocument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footer" Target="footer2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C0C6084330C1D4E884271301BB10C18" ma:contentTypeVersion="2" ma:contentTypeDescription="Создание документа." ma:contentTypeScope="" ma:versionID="8f25c1b951df5d39de5325b9b416767e">
  <xsd:schema xmlns:xsd="http://www.w3.org/2001/XMLSchema" xmlns:xs="http://www.w3.org/2001/XMLSchema" xmlns:p="http://schemas.microsoft.com/office/2006/metadata/properties" xmlns:ns2="cc27c26e-db8b-4c2c-93b6-a5c6a6deb80d" targetNamespace="http://schemas.microsoft.com/office/2006/metadata/properties" ma:root="true" ma:fieldsID="cfb113cd45349a8bb87ba99ae38b9225" ns2:_="">
    <xsd:import namespace="cc27c26e-db8b-4c2c-93b6-a5c6a6deb8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27c26e-db8b-4c2c-93b6-a5c6a6deb8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3OezM95jlg7IFNmzE8ExFRR0png==">AMUW2mX7gB8uPZAJayTyYk/I3ykzPh+Zd3VkGb04EXQ0GneHQMzca0Ep47uq+zenzmWvlkgOdIdjsdoicGZ7blZYjo0ntg2awbyIBrDxDU84kTIZofVLFC+ZCoa+zM7siZE1iGIqQngW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BC2DAD6-52C7-4D1E-9F0F-1655FB22F6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27c26e-db8b-4c2c-93b6-a5c6a6deb8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47D89A5E-5D4F-42A0-B76C-531F0D70A3C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1EE910A-DBB1-45BE-A354-9F36137C816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92BA56F0-239E-4F19-9ECB-1BFD04CD716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33</Pages>
  <Words>5512</Words>
  <Characters>31425</Characters>
  <Application>Microsoft Office Word</Application>
  <DocSecurity>0</DocSecurity>
  <Lines>261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Тихон Филадельфов</cp:lastModifiedBy>
  <cp:revision>3</cp:revision>
  <dcterms:created xsi:type="dcterms:W3CDTF">2026-06-05T11:48:00Z</dcterms:created>
  <dcterms:modified xsi:type="dcterms:W3CDTF">2026-06-05T11:48:00Z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0x010100DC0C6084330C1D4E884271301BB10C18</vt:lpwstr>
  </property>
</Properties>
</file>