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903D3582A9A944A16547C80FE6B39B" ma:contentTypeVersion="0" ma:contentTypeDescription="Utwórz nowy dokument." ma:contentTypeScope="" ma:versionID="2eacf4078c0b2dfb2a0be61389fe51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5C472-04E4-43A5-B4A1-A319CF308A14}"/>
</file>

<file path=customXml/itemProps2.xml><?xml version="1.0" encoding="utf-8"?>
<ds:datastoreItem xmlns:ds="http://schemas.openxmlformats.org/officeDocument/2006/customXml" ds:itemID="{23A17707-DC16-4F5B-BD08-26CBEF134815}"/>
</file>

<file path=customXml/itemProps3.xml><?xml version="1.0" encoding="utf-8"?>
<ds:datastoreItem xmlns:ds="http://schemas.openxmlformats.org/officeDocument/2006/customXml" ds:itemID="{F7FE7C1B-945A-4F34-990D-D36C74C1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0x0101003B903D3582A9A944A16547C80FE6B39B</vt:lpwstr>
  </property>
</Properties>
</file>