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Добровольное разрешение на использование материалов для улучшения LABRICA AI</w:t>
      </w:r>
    </w:p>
    <w:p>
      <w:pPr>
        <w:jc w:val="left"/>
      </w:pPr>
      <w:r>
        <w:rPr>
          <w:rFonts w:ascii="Arial" w:hAnsi="Arial" w:eastAsia="Arial"/>
          <w:b w:val="0"/>
          <w:i w:val="0"/>
          <w:color w:val="666666"/>
          <w:sz w:val="18"/>
        </w:rPr>
        <w:t>LABRICA · редакция от 28.09.2026</w:t>
      </w:r>
    </w:p>
    <w:p>
      <w:pPr>
        <w:spacing w:after="160"/>
      </w:pPr>
      <w:r>
        <w:rPr>
          <w:rFonts w:ascii="Arial" w:hAnsi="Arial" w:eastAsia="Arial"/>
          <w:b w:val="0"/>
          <w:i w:val="0"/>
          <w:color w:val="19A974"/>
          <w:sz w:val="14"/>
        </w:rPr>
        <w:t>━━━━━━━━━━━━━━━━━━━━━━━━━━━━━━━━━━━━━━━━━━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Я добровольно разрешаю Индивидуальный предприниматель Байгот Сергей Русланович использовать предоставленные мной LABRICA материалы, промпты и результаты работы для оценки качества и совершенствования общей системы LABRICA AI на условиях настоящего документа.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4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r/>
            <w:r>
              <w:rPr>
                <w:rFonts w:ascii="Arial" w:hAnsi="Arial" w:eastAsia="Arial"/>
                <w:b w:val="0"/>
                <w:i w:val="0"/>
                <w:color w:val="171717"/>
                <w:sz w:val="19"/>
              </w:rPr>
              <w:t>Разрешение является необязательным. Переключатель «Помогать улучшать LABRICA AI» по умолчанию выключен и не влияет на доступ к основным функциям и оплачиваемому тарифу.</w:t>
            </w:r>
          </w:p>
        </w:tc>
      </w:tr>
    </w:tbl>
    <w:p>
      <w:pPr>
        <w:pStyle w:val="Heading1"/>
      </w:pPr>
      <w:r>
        <w:t>1. Какие материалы могут использоваться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промпты и инструкции;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созданные тексты и метаданные результата;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изображения/видео и связанные инструкции, если пользователь разрешил их использование;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оценки результата, правки, признаки успешности и обезличенная статистика.</w:t>
      </w:r>
    </w:p>
    <w:p>
      <w:pPr>
        <w:pStyle w:val="Heading1"/>
      </w:pPr>
      <w:r>
        <w:t>2. Минимизация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Перед использованием материалов для общей системы LABRICA AI LABRICA принимает меры для исключения прямых идентификаторов и минимизации персональных данных, насколько это возможно для цели улучшения.</w:t>
      </w:r>
    </w:p>
    <w:p>
      <w:pPr>
        <w:pStyle w:val="Heading1"/>
      </w:pPr>
      <w:r>
        <w:t>3. Цели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оценка качества;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поиск ошибок и нежелательных результатов;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настройка алгоритмов и рекомендаций;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разработка новых функций;</w:t>
      </w:r>
    </w:p>
    <w:p>
      <w:pPr>
        <w:pStyle w:val="ListBullet"/>
        <w:spacing w:after="40"/>
      </w:pPr>
      <w:r>
        <w:rPr>
          <w:rFonts w:ascii="Arial" w:hAnsi="Arial" w:eastAsia="Arial"/>
          <w:b w:val="0"/>
          <w:i w:val="0"/>
          <w:color w:val="171717"/>
          <w:sz w:val="21"/>
        </w:rPr>
        <w:t>улучшение генерации и адаптации контента.</w:t>
      </w:r>
    </w:p>
    <w:p>
      <w:pPr>
        <w:pStyle w:val="Heading1"/>
      </w:pPr>
      <w:r>
        <w:t>4. Ограничения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Материалы не используются по этому разрешению для рекламы от имени пользователя и не публикуются публично. Пользователь не должен включать в материалы специальные категории персональных данных, биометрию для идентификации, конфиденциальные данные третьих лиц и иные сведения, использование которых для улучшения общей системы не имеет законного основания.</w:t>
      </w:r>
    </w:p>
    <w:p>
      <w:pPr>
        <w:pStyle w:val="Heading1"/>
      </w:pPr>
      <w:r>
        <w:t>5. Срок и отзыв</w:t>
      </w:r>
    </w:p>
    <w:p>
      <w:r>
        <w:rPr>
          <w:rFonts w:ascii="Arial" w:hAnsi="Arial" w:eastAsia="Arial"/>
          <w:b w:val="0"/>
          <w:i w:val="0"/>
          <w:color w:val="171717"/>
          <w:sz w:val="21"/>
        </w:rPr>
        <w:t>Разрешение действует до отключения переключателя или отзыва по адресу privacy@labrica.pro. После отзыва новые материалы не включаются в процессы улучшения. История промптов/ответов в аккаунте регулируется отдельно и хранится до 12 месяцев, если пользователь не удалил её раньше.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b w:val="0"/>
        <w:i w:val="0"/>
        <w:color w:val="666666"/>
        <w:sz w:val="16"/>
      </w:rPr>
      <w:t>Редакция 28.09.2026  •  ИП Байгот Сергей Русланович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b/>
        <w:i w:val="0"/>
        <w:color w:val="19A974"/>
        <w:sz w:val="17"/>
      </w:rPr>
      <w:t>LABRICA  •  LEGAL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7171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9A97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7171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71717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