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Поручение на обработку персональных данных (B2B)</w:t>
      </w:r>
    </w:p>
    <w:p>
      <w:pPr>
        <w:jc w:val="left"/>
      </w:pPr>
      <w:r>
        <w:rPr>
          <w:rFonts w:ascii="Arial" w:hAnsi="Arial" w:eastAsia="Arial"/>
          <w:b w:val="0"/>
          <w:i w:val="0"/>
          <w:color w:val="666666"/>
          <w:sz w:val="18"/>
        </w:rPr>
        <w:t>LABRICA · редакция от 28.09.2026</w:t>
      </w:r>
    </w:p>
    <w:p>
      <w:pPr>
        <w:spacing w:after="160"/>
      </w:pPr>
      <w:r>
        <w:rPr>
          <w:rFonts w:ascii="Arial" w:hAnsi="Arial" w:eastAsia="Arial"/>
          <w:b w:val="0"/>
          <w:i w:val="0"/>
          <w:color w:val="19A974"/>
          <w:sz w:val="14"/>
        </w:rPr>
        <w:t>━━━━━━━━━━━━━━━━━━━━━━━━━━━━━━━━━━━━━━━━━━</w:t>
      </w:r>
    </w:p>
    <w:p>
      <w:r>
        <w:rPr>
          <w:rFonts w:ascii="Arial" w:hAnsi="Arial" w:eastAsia="Arial"/>
          <w:b w:val="0"/>
          <w:i w:val="0"/>
          <w:color w:val="171717"/>
          <w:sz w:val="21"/>
        </w:rPr>
        <w:t>Настоящее Поручение является частью Пользовательского соглашения LABRICA и применяется, когда пользователь — юридическое лицо, индивидуальный предприниматель или иной оператор персональных данных — передаёт LABRICA персональные данные своих клиентов, сотрудников, контрагентов или иных третьих лиц для обработки в интересах пользователя.</w:t>
      </w:r>
    </w:p>
    <w:p>
      <w:pPr>
        <w:pStyle w:val="Heading1"/>
      </w:pPr>
      <w:r>
        <w:t>1. Стороны и роли</w:t>
      </w:r>
    </w:p>
    <w:p>
      <w:r>
        <w:rPr>
          <w:rFonts w:ascii="Arial" w:hAnsi="Arial" w:eastAsia="Arial"/>
          <w:b w:val="0"/>
          <w:i w:val="0"/>
          <w:color w:val="171717"/>
          <w:sz w:val="21"/>
        </w:rPr>
        <w:t>1.1. Пользователь, определяющий цели обработки и состав передаваемых данных, является оператором персональных данных («Заказчик»). Индивидуальный предприниматель Байгот Сергей Русланович действует как лицо, осуществляющее обработку персональных данных по поручению Заказчика («Обработчик»), если из характера конкретной операции не следует иная роль.</w:t>
      </w:r>
    </w:p>
    <w:p>
      <w:r>
        <w:rPr>
          <w:rFonts w:ascii="Arial" w:hAnsi="Arial" w:eastAsia="Arial"/>
          <w:b w:val="0"/>
          <w:i w:val="0"/>
          <w:color w:val="171717"/>
          <w:sz w:val="21"/>
        </w:rPr>
        <w:t>1.2. Заказчик гарантирует наличие законных оснований для сбора, передачи и обработки персональных данных и самостоятельно исполняет обязанности оператора перед субъектами, если иное прямо не установлено законом.</w:t>
      </w:r>
    </w:p>
    <w:p>
      <w:pPr>
        <w:pStyle w:val="Heading1"/>
      </w:pPr>
      <w:r>
        <w:t>2. Цели обработки</w:t>
      </w:r>
    </w:p>
    <w:p>
      <w:pPr>
        <w:pStyle w:val="ListBullet"/>
        <w:spacing w:after="40"/>
      </w:pPr>
      <w:r>
        <w:rPr>
          <w:rFonts w:ascii="Arial" w:hAnsi="Arial" w:eastAsia="Arial"/>
          <w:b w:val="0"/>
          <w:i w:val="0"/>
          <w:color w:val="171717"/>
          <w:sz w:val="21"/>
        </w:rPr>
        <w:t>хранение и техническая обработка материалов Заказчика;</w:t>
      </w:r>
    </w:p>
    <w:p>
      <w:pPr>
        <w:pStyle w:val="ListBullet"/>
        <w:spacing w:after="40"/>
      </w:pPr>
      <w:r>
        <w:rPr>
          <w:rFonts w:ascii="Arial" w:hAnsi="Arial" w:eastAsia="Arial"/>
          <w:b w:val="0"/>
          <w:i w:val="0"/>
          <w:color w:val="171717"/>
          <w:sz w:val="21"/>
        </w:rPr>
        <w:t>подготовка и генерация контента по инструкции Заказчика;</w:t>
      </w:r>
    </w:p>
    <w:p>
      <w:pPr>
        <w:pStyle w:val="ListBullet"/>
        <w:spacing w:after="40"/>
      </w:pPr>
      <w:r>
        <w:rPr>
          <w:rFonts w:ascii="Arial" w:hAnsi="Arial" w:eastAsia="Arial"/>
          <w:b w:val="0"/>
          <w:i w:val="0"/>
          <w:color w:val="171717"/>
          <w:sz w:val="21"/>
        </w:rPr>
        <w:t>сегментация/аналитика в рамках функций LABRICA;</w:t>
      </w:r>
    </w:p>
    <w:p>
      <w:pPr>
        <w:pStyle w:val="ListBullet"/>
        <w:spacing w:after="40"/>
      </w:pPr>
      <w:r>
        <w:rPr>
          <w:rFonts w:ascii="Arial" w:hAnsi="Arial" w:eastAsia="Arial"/>
          <w:b w:val="0"/>
          <w:i w:val="0"/>
          <w:color w:val="171717"/>
          <w:sz w:val="21"/>
        </w:rPr>
        <w:t>согласование и публикация материалов;</w:t>
      </w:r>
    </w:p>
    <w:p>
      <w:pPr>
        <w:pStyle w:val="ListBullet"/>
        <w:spacing w:after="40"/>
      </w:pPr>
      <w:r>
        <w:rPr>
          <w:rFonts w:ascii="Arial" w:hAnsi="Arial" w:eastAsia="Arial"/>
          <w:b w:val="0"/>
          <w:i w:val="0"/>
          <w:color w:val="171717"/>
          <w:sz w:val="21"/>
        </w:rPr>
        <w:t>обработка обращений и техническая поддержка;</w:t>
      </w:r>
    </w:p>
    <w:p>
      <w:pPr>
        <w:pStyle w:val="ListBullet"/>
        <w:spacing w:after="40"/>
      </w:pPr>
      <w:r>
        <w:rPr>
          <w:rFonts w:ascii="Arial" w:hAnsi="Arial" w:eastAsia="Arial"/>
          <w:b w:val="0"/>
          <w:i w:val="0"/>
          <w:color w:val="171717"/>
          <w:sz w:val="21"/>
        </w:rPr>
        <w:t>иные функции, которые Заказчик явно активировал в интерфейсе.</w:t>
      </w:r>
    </w:p>
    <w:p>
      <w:pPr>
        <w:pStyle w:val="Heading1"/>
      </w:pPr>
      <w:r>
        <w:t>3. Категории субъектов и данных</w:t>
      </w:r>
    </w:p>
    <w:p>
      <w:r>
        <w:rPr>
          <w:rFonts w:ascii="Arial" w:hAnsi="Arial" w:eastAsia="Arial"/>
          <w:b w:val="0"/>
          <w:i w:val="0"/>
          <w:color w:val="171717"/>
          <w:sz w:val="21"/>
        </w:rPr>
        <w:t>Субъекты могут включать клиентов, лидов, сотрудников, представителей контрагентов, авторов контента и иных лиц, сведения о которых Заказчик законно передал LABRICA. Категории данных зависят от материалов Заказчика и могут включать ФИО, контактные данные, должность, сведения о заказах/интересах, пользовательский контент и иные обычные персональные данные.</w:t>
      </w:r>
    </w:p>
    <w:tbl>
      <w:tblPr>
        <w:tblStyle w:val="TableGrid"/>
        <w:tblW w:type="auto" w:w="0"/>
        <w:jc w:val="center"/>
        <w:tblLook w:firstColumn="1" w:firstRow="1" w:lastColumn="0" w:lastRow="0" w:noHBand="0" w:noVBand="1" w:val="04A0"/>
      </w:tblPr>
      <w:tblGrid>
        <w:gridCol w:w="9972"/>
      </w:tblGrid>
      <w:tr>
        <w:tc>
          <w:tcPr>
            <w:tcW w:type="dxa" w:w="9972"/>
            <w:shd w:fill="F3F5F4"/>
            <w:tcMar>
              <w:top w:w="130" w:type="dxa"/>
              <w:start w:w="150" w:type="dxa"/>
              <w:bottom w:w="130" w:type="dxa"/>
              <w:end w:w="150" w:type="dxa"/>
            </w:tcMar>
          </w:tcPr>
          <w:p>
            <w:r/>
            <w:r>
              <w:rPr>
                <w:rFonts w:ascii="Arial" w:hAnsi="Arial" w:eastAsia="Arial"/>
                <w:b w:val="0"/>
                <w:i w:val="0"/>
                <w:color w:val="171717"/>
                <w:sz w:val="19"/>
              </w:rPr>
              <w:t>Специальные категории персональных данных и биометрические данные для идентификации не должны передаваться без предварительного согласования и самостоятельной проверки законного основания.</w:t>
            </w:r>
          </w:p>
        </w:tc>
      </w:tr>
    </w:tbl>
    <w:p>
      <w:pPr>
        <w:pStyle w:val="Heading1"/>
      </w:pPr>
      <w:r>
        <w:t>4. Действия с данными</w:t>
      </w:r>
    </w:p>
    <w:p>
      <w:r>
        <w:rPr>
          <w:rFonts w:ascii="Arial" w:hAnsi="Arial" w:eastAsia="Arial"/>
          <w:b w:val="0"/>
          <w:i w:val="0"/>
          <w:color w:val="171717"/>
          <w:sz w:val="21"/>
        </w:rPr>
        <w:t>Сбор (при прямой передаче Заказчиком через интерфейс), запись, систематизация, накопление, хранение, уточнение, извлечение, использование, предоставление доступа уполномоченным субобработчикам, передача по инструкции Заказчика подключённым сервисам, обезличивание, блокирование, удаление и уничтожение с использованием средств автоматизации.</w:t>
      </w:r>
    </w:p>
    <w:p>
      <w:pPr>
        <w:pStyle w:val="Heading1"/>
      </w:pPr>
      <w:r>
        <w:t>5. Инструкции Заказчика</w:t>
      </w:r>
    </w:p>
    <w:p>
      <w:r>
        <w:rPr>
          <w:rFonts w:ascii="Arial" w:hAnsi="Arial" w:eastAsia="Arial"/>
          <w:b w:val="0"/>
          <w:i w:val="0"/>
          <w:color w:val="171717"/>
          <w:sz w:val="21"/>
        </w:rPr>
        <w:t>Документированными инструкциями считаются условия договора, настройки рабочего пространства, действия пользователя в интерфейсе, подключение интеграций, API-запросы и письменные обращения уполномоченных представителей. Обработчик не использует порученные данные для собственных несовместимых целей.</w:t>
      </w:r>
    </w:p>
    <w:p>
      <w:pPr>
        <w:pStyle w:val="Heading1"/>
      </w:pPr>
      <w:r>
        <w:t>6. Обязанности Обработчика</w:t>
      </w:r>
    </w:p>
    <w:p>
      <w:pPr>
        <w:pStyle w:val="ListBullet"/>
        <w:spacing w:after="40"/>
      </w:pPr>
      <w:r>
        <w:rPr>
          <w:rFonts w:ascii="Arial" w:hAnsi="Arial" w:eastAsia="Arial"/>
          <w:b w:val="0"/>
          <w:i w:val="0"/>
          <w:color w:val="171717"/>
          <w:sz w:val="21"/>
        </w:rPr>
        <w:t>соблюдать конфиденциальность и обеспечивать меры защиты, предусмотренные ст. 19 Федерального закона № 152-ФЗ в применимом объёме;</w:t>
      </w:r>
    </w:p>
    <w:p>
      <w:pPr>
        <w:pStyle w:val="ListBullet"/>
        <w:spacing w:after="40"/>
      </w:pPr>
      <w:r>
        <w:rPr>
          <w:rFonts w:ascii="Arial" w:hAnsi="Arial" w:eastAsia="Arial"/>
          <w:b w:val="0"/>
          <w:i w:val="0"/>
          <w:color w:val="171717"/>
          <w:sz w:val="21"/>
        </w:rPr>
        <w:t>обрабатывать данные только по поручению и в пределах функций LABRICA;</w:t>
      </w:r>
    </w:p>
    <w:p>
      <w:pPr>
        <w:pStyle w:val="ListBullet"/>
        <w:spacing w:after="40"/>
      </w:pPr>
      <w:r>
        <w:rPr>
          <w:rFonts w:ascii="Arial" w:hAnsi="Arial" w:eastAsia="Arial"/>
          <w:b w:val="0"/>
          <w:i w:val="0"/>
          <w:color w:val="171717"/>
          <w:sz w:val="21"/>
        </w:rPr>
        <w:t>ограничивать доступ сотрудников и привлекаемых лиц;</w:t>
      </w:r>
    </w:p>
    <w:p>
      <w:pPr>
        <w:pStyle w:val="ListBullet"/>
        <w:spacing w:after="40"/>
      </w:pPr>
      <w:r>
        <w:rPr>
          <w:rFonts w:ascii="Arial" w:hAnsi="Arial" w:eastAsia="Arial"/>
          <w:b w:val="0"/>
          <w:i w:val="0"/>
          <w:color w:val="171717"/>
          <w:sz w:val="21"/>
        </w:rPr>
        <w:t>привлекать субобработчиков при условии возложения на них требований по защите данных;</w:t>
      </w:r>
    </w:p>
    <w:p>
      <w:pPr>
        <w:pStyle w:val="ListBullet"/>
        <w:spacing w:after="40"/>
      </w:pPr>
      <w:r>
        <w:rPr>
          <w:rFonts w:ascii="Arial" w:hAnsi="Arial" w:eastAsia="Arial"/>
          <w:b w:val="0"/>
          <w:i w:val="0"/>
          <w:color w:val="171717"/>
          <w:sz w:val="21"/>
        </w:rPr>
        <w:t>по запросу предоставлять Заказчику разумно необходимую информацию для подтверждения исполнения поручения;</w:t>
      </w:r>
    </w:p>
    <w:p>
      <w:pPr>
        <w:pStyle w:val="ListBullet"/>
        <w:spacing w:after="40"/>
      </w:pPr>
      <w:r>
        <w:rPr>
          <w:rFonts w:ascii="Arial" w:hAnsi="Arial" w:eastAsia="Arial"/>
          <w:b w:val="0"/>
          <w:i w:val="0"/>
          <w:color w:val="171717"/>
          <w:sz w:val="21"/>
        </w:rPr>
        <w:t>сообщать Заказчику об инциденте с порученными данными без неоправданной задержки после подтверждения существенного инцидента, чтобы Заказчик мог выполнить свои обязанности;</w:t>
      </w:r>
    </w:p>
    <w:p>
      <w:pPr>
        <w:pStyle w:val="ListBullet"/>
        <w:spacing w:after="40"/>
      </w:pPr>
      <w:r>
        <w:rPr>
          <w:rFonts w:ascii="Arial" w:hAnsi="Arial" w:eastAsia="Arial"/>
          <w:b w:val="0"/>
          <w:i w:val="0"/>
          <w:color w:val="171717"/>
          <w:sz w:val="21"/>
        </w:rPr>
        <w:t>по прекращении поручения удалить/вернуть порученные данные в предусмотренном интерфейсом порядке, кроме сведений, которые должны сохраняться по закону.</w:t>
      </w:r>
    </w:p>
    <w:p>
      <w:pPr>
        <w:pStyle w:val="Heading1"/>
      </w:pPr>
      <w:r>
        <w:t>7. Субобработчики</w:t>
      </w:r>
    </w:p>
    <w:p>
      <w:r>
        <w:rPr>
          <w:rFonts w:ascii="Arial" w:hAnsi="Arial" w:eastAsia="Arial"/>
          <w:b w:val="0"/>
          <w:i w:val="0"/>
          <w:color w:val="171717"/>
          <w:sz w:val="21"/>
        </w:rPr>
        <w:t>Перечень основных внешних сервисов доступен по адресу https://legal.labrica.pro/processors. Заказчик поручает LABRICA привлекать перечисленных там субобработчиков в пределах активированных функций. Существенное изменение перечня отражается на указанной странице.</w:t>
      </w:r>
    </w:p>
    <w:p>
      <w:pPr>
        <w:pStyle w:val="Heading1"/>
      </w:pPr>
      <w:r>
        <w:t>8. Трансграничная передача</w:t>
      </w:r>
    </w:p>
    <w:p>
      <w:r>
        <w:rPr>
          <w:rFonts w:ascii="Arial" w:hAnsi="Arial" w:eastAsia="Arial"/>
          <w:b w:val="0"/>
          <w:i w:val="0"/>
          <w:color w:val="171717"/>
          <w:sz w:val="21"/>
        </w:rPr>
        <w:t>Если Заказчик активирует функцию, предполагающую передачу порученных персональных данных иностранному сервису, такая операция выполняется только в рамках применимого законодательства. Заказчик обязан не поручать трансграничную передачу при отсутствии необходимого законного основания; LABRICA вправе ограничить соответствующую функцию до выполнения обязательных требований.</w:t>
      </w:r>
    </w:p>
    <w:p>
      <w:pPr>
        <w:pStyle w:val="Heading1"/>
      </w:pPr>
      <w:r>
        <w:t>9. Срок и удаление</w:t>
      </w:r>
    </w:p>
    <w:p>
      <w:r>
        <w:rPr>
          <w:rFonts w:ascii="Arial" w:hAnsi="Arial" w:eastAsia="Arial"/>
          <w:b w:val="0"/>
          <w:i w:val="0"/>
          <w:color w:val="171717"/>
          <w:sz w:val="21"/>
        </w:rPr>
        <w:t>Поручение действует, пока у Заказчика существует аккаунт/договор и в LABRICA находятся переданные им данные. При удалении данных Заказчиком они исключаются из активной системы; остаточные копии в резервном контуре перезаписываются не позднее 30 дней, если иной срок не требуется законом.</w:t>
      </w:r>
    </w:p>
    <w:p>
      <w:pPr>
        <w:pStyle w:val="Heading1"/>
      </w:pPr>
      <w:r>
        <w:t>10. Ответственность</w:t>
      </w:r>
    </w:p>
    <w:p>
      <w:r>
        <w:rPr>
          <w:rFonts w:ascii="Arial" w:hAnsi="Arial" w:eastAsia="Arial"/>
          <w:b w:val="0"/>
          <w:i w:val="0"/>
          <w:color w:val="171717"/>
          <w:sz w:val="21"/>
        </w:rPr>
        <w:t>Каждая сторона отвечает за свои обязанности по законодательству о персональных данных. Заказчик отвечает за законность первоначального сбора, содержание инструкций и наличие оснований для передачи. Обработчик отвечает за соблюдение полученного поручения и применимых требований к защите данных.</w:t>
      </w:r>
    </w:p>
    <w:p>
      <w:pPr>
        <w:pStyle w:val="Heading1"/>
      </w:pPr>
      <w:r>
        <w:t>11. Контакты по данным</w:t>
      </w:r>
    </w:p>
    <w:p>
      <w:r>
        <w:rPr>
          <w:rFonts w:ascii="Arial" w:hAnsi="Arial" w:eastAsia="Arial"/>
          <w:b w:val="0"/>
          <w:i w:val="0"/>
          <w:color w:val="171717"/>
          <w:sz w:val="21"/>
        </w:rPr>
        <w:t>Вопросы по настоящему Поручению: privacy@labrica.pro.</w:t>
      </w:r>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Редакция 28.09.2026  •  ИП Байгот Сергей Русланович</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19A974"/>
        <w:sz w:val="17"/>
      </w:rPr>
      <w:t>LABRICA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A974"/>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171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