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Публичная оферта LABRICA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Индивидуальный предприниматель Байгот Сергей Русланович, ИНН 440120577981, ОГРНИП 323440000020443, адрес: Костромская обл., г. Кострома, мкр. Давыдовский - 2, д. 5, кв. 13, предлагает физическим лицам, индивидуальным предпринимателям и юридическим лицам заключить договор предоставления доступа к LABRICA на условиях настоящей Оферты.</w:t>
      </w:r>
    </w:p>
    <w:p>
      <w:pPr>
        <w:pStyle w:val="Heading1"/>
      </w:pPr>
      <w:r>
        <w:t>1. Предмет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Исполнитель предоставляет Заказчику доступ к программной платформе LABRICA и функциям выбранного тарифа на оплаченный период, а Заказчик оплачивает доступ на условиях, показанных перед оплатой.</w:t>
      </w:r>
    </w:p>
    <w:p>
      <w:pPr>
        <w:pStyle w:val="Heading1"/>
      </w:pPr>
      <w:r>
        <w:t>2. Тарифы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Тариф</w:t>
            </w:r>
          </w:p>
        </w:tc>
        <w:tc>
          <w:tcPr>
            <w:tcW w:type="dxa" w:w="4986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Основной состав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LITE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 бренд; до 5 профилей соцсетей; 30 изображений; 40 секунд видео; до 2 сотрудников; редактор текстов и календарь; согласование публикаций; базовая аналитика.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BUSINESS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 бренд; до 10 профилей соцсетей; 100 изображений; 200 секунд видео; до 5 сотрудников; редактор и календарь; согласование; расширенная аналитика; автоматический контент-план и идеи.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PRO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 3 брендов; до 25 профилей соцсетей; 500 изображений; 500 секунд видео; до 10 сотрудников; редактор и календарь; согласование; расширенная аналитика; контент-план и идеи; стили и правила брендов; A/B-тесты и расширенная студия; адаптация контента и анализ воронки; приоритетная генерация.</w:t>
            </w:r>
          </w:p>
        </w:tc>
      </w:tr>
    </w:tbl>
    <w:p>
      <w:r>
        <w:rPr>
          <w:rFonts w:ascii="Arial" w:hAnsi="Arial" w:eastAsia="Arial"/>
          <w:b w:val="0"/>
          <w:i w:val="0"/>
          <w:color w:val="171717"/>
          <w:sz w:val="21"/>
        </w:rPr>
        <w:t>Актуальная цена, точные лимиты, доступные AI-модели и иные параметры показываются на labrica.pro и/или в приложении до оплаты и являются частью условий выбранного тарифа. Цены в тексте Оферты намеренно не фиксируются.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Тариф может оплачиваться на 1, 6 или 12 месяцев. Условия расходования и обновления лимитов показываются в интерфейсе конкретного тарифа.</w:t>
      </w:r>
    </w:p>
    <w:p>
      <w:pPr>
        <w:pStyle w:val="Heading1"/>
      </w:pPr>
      <w:r>
        <w:t>3. Стоимость и налоги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Стоимость указывается в российских рублях и показывается Заказчику до подтверждения платежа. НДС не предъявляется. Изменение стоимости не изменяет цену уже оплаченного периода.</w:t>
      </w:r>
    </w:p>
    <w:p>
      <w:pPr>
        <w:pStyle w:val="Heading1"/>
      </w:pPr>
      <w:r>
        <w:t>4. Заключение договора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Договор считается заключённым после акцепта Оферты — совершения оплаты либо иного явно обозначенного в интерфейсе действия, подтверждающего приобретение платного доступа. До акцепта Заказчику предоставляется возможность ознакомиться с Офертой, составом тарифа, стоимостью, периодом и условиями автопродления.</w:t>
      </w:r>
    </w:p>
    <w:p>
      <w:pPr>
        <w:pStyle w:val="Heading1"/>
      </w:pPr>
      <w:r>
        <w:t>5. Оплата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Оплата производится через интернет-эквайринг Точка Банка. LABRICA получает от платёжной инфраструктуры сведения о статусе, сумме и идентификаторе операции и не должна хранить полный номер банковской карты, CVC/CVV и иные платёжные реквизиты, которые обрабатываются платёжной стороной.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Кассовые чеки формируются в рамках подключенной схемы фискализации интернет-эквайринга Точка Банка через выбранного партнёра фискализации по 54-ФЗ и направляются покупателю предусмотренным способом.</w:t>
      </w:r>
    </w:p>
    <w:p>
      <w:pPr>
        <w:pStyle w:val="Heading1"/>
      </w:pPr>
      <w:r>
        <w:t>6. Автопродление и периодические списания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Для тарифов может быть включено автоматическое продление. При его включении после окончания оплаченного периода LABRICA инициирует оплату следующего аналогичного периода по цене, показанной пользователю в соответствии с действующими условиями подписки.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может отключить автопродление в разделе «Настройки → Подписка». Отключение не прекращает уже оплаченный доступ до конца текущего периода.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Если пользователь в электронной форме отказался от использования ранее предоставленных платёжных реквизитов для дальнейших периодических платежей, такие реквизиты не используются для последующих списаний. Отказ доступен в настройках подписки и через billing@labrica.pro.</w:t>
      </w:r>
    </w:p>
    <w:p>
      <w:pPr>
        <w:pStyle w:val="Heading1"/>
      </w:pPr>
      <w:r>
        <w:t>7. Предоставление доступа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Доступ активируется после подтверждения успешной оплаты и предоставляется на выбранный период. Фактический статус тарифа отображается в приложении.</w:t>
      </w:r>
    </w:p>
    <w:p>
      <w:pPr>
        <w:pStyle w:val="Heading1"/>
      </w:pPr>
      <w:r>
        <w:t>8. Отказ и возвраты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Для физического лица-потребителя применяются обязательные нормы Закона РФ «О защите прав потребителей». Обращение по возврату можно направить на billing@labrica.pro. При расчёте возврата учитываются фактически оказанные услуги и фактически понесённые Исполнителем расходы в случаях и пределах, допускаемых законом.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Для Заказчика, приобретающего доступ в предпринимательских целях, условия возврата определяются настоящей Офертой, объёмом фактически предоставленного доступа, использованных ресурсов и применимыми нормами гражданского законодательства.</w:t>
      </w:r>
    </w:p>
    <w:p>
      <w:pPr>
        <w:pStyle w:val="Heading1"/>
      </w:pPr>
      <w:r>
        <w:t>9. Изменение тарифа и цены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Исполнитель вправе изменять цены будущих периодов и состав будущих тарифов. Новая стоимость применяется только к будущей оплате. Перед очередным списанием пользователь должен иметь доступ к актуальной информации о цене и условиях продления.</w:t>
      </w:r>
    </w:p>
    <w:p>
      <w:pPr>
        <w:pStyle w:val="Heading1"/>
      </w:pPr>
      <w:r>
        <w:t>10. Сторонние сервисы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Функции LABRICA могут зависеть от внешних AI-сервисов и социальных платформ. Существенная недоступность оплаченного функционала рассматривается с учётом фактической длительности и характера сбоя и обязательных норм законодательства.</w:t>
      </w:r>
    </w:p>
    <w:p>
      <w:pPr>
        <w:pStyle w:val="Heading1"/>
      </w:pPr>
      <w:r>
        <w:t>11. Ограничения использования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обязан соблюдать Пользовательское соглашение и не использовать LABRICA для незаконной обработки данных, запрещённого контента, спама или распространения рекламы на ресурсах, где она запрещена законодательством РФ.</w:t>
      </w:r>
    </w:p>
    <w:p>
      <w:pPr>
        <w:pStyle w:val="Heading1"/>
      </w:pPr>
      <w:r>
        <w:t>12. Реквизиты Исполнителя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Индивидуальный предприниматель Байгот Сергей Русланович</w:t>
        <w:br/>
        <w:t>ИНН 440120577981</w:t>
        <w:br/>
        <w:t>ОГРНИП 323440000020443</w:t>
        <w:br/>
        <w:t>Дата регистрации: 26.09.2023</w:t>
        <w:br/>
        <w:t>Регистрирующий орган: Управление Федеральной налоговой службы по Костромской области</w:t>
        <w:br/>
        <w:t>Адрес: Костромская обл., г. Кострома, мкр. Давыдовский - 2, д. 5, кв. 13</w:t>
        <w:br/>
        <w:t>Email: inbox@labrica.pro</w:t>
        <w:br/>
        <w:t>Оплата и возвраты: billing@labrica.pro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