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Обработчики и внешние сервисы LABRICA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Перечень отражает основные внешние сервисы, которые LABRICA использует для инфраструктуры, платежей, коммуникаций, аналитики, AI и пользовательских интеграций. Конкретный объём передачи зависит от включённых пользователем функций.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9"/>
              </w:rPr>
              <w:t>Для иностранных сервисов персональные данные передаются только при наличии правового основания и после выполнения применимых требований законодательства РФ о трансграничной передаче. Где возможно, LABRICA исключает прямые идентификаторы из передаваемого контента.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Сервис</w:t>
            </w:r>
          </w:p>
        </w:tc>
        <w:tc>
          <w:tcPr>
            <w:tcW w:type="dxa" w:w="1662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Функция</w:t>
            </w:r>
          </w:p>
        </w:tc>
        <w:tc>
          <w:tcPr>
            <w:tcW w:type="dxa" w:w="1662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Данные</w:t>
            </w:r>
          </w:p>
        </w:tc>
        <w:tc>
          <w:tcPr>
            <w:tcW w:type="dxa" w:w="1662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Локация</w:t>
            </w:r>
          </w:p>
        </w:tc>
        <w:tc>
          <w:tcPr>
            <w:tcW w:type="dxa" w:w="1662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Трансграничная</w:t>
            </w:r>
          </w:p>
        </w:tc>
        <w:tc>
          <w:tcPr>
            <w:tcW w:type="dxa" w:w="1662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Основание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Selectel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Основная серверная инфраструктура и первичная база ПД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аккаунт, контакты, пользовательский контент, технические данные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Россия, Москва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Нет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договор с провайдером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Точка Банк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Интернет-эквайринг и рекуррентные платежи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данные плательщика в необходимом объёме, сумма, статус и идентификаторы операции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Нет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договор/условия эквайринга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Партнёр фискализации Точка Банка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Формирование кассовых чеков по 54-ФЗ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данные чека и покупателя в объёме, необходимом для фискализации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Нет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подключение через интернет-эквайринг Точка Банка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Яндекс 360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Сервисные и рекламные email-сообщения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email, имя, содержание сообщения и служебные метаданные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Нет по выбранной российской схеме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условия сервиса / договор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Яндекс Метрика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Веб-аналитика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cookie/браузерные идентификаторы, IP и сведения о посещении в объёме работы счётчика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 / инфраструктура сервиса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Как правило, нет для российского сервиса; зависит от конфигурации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условия сервиса / согласие, когда требуется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OpenAI API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Текстовые AI-функции и иные подключённые AI-возможности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промпт, минимально необходимый пользовательский контент, технические метаданные; прямые идентификаторы исключаются, если не нужны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США и иные локации инфраструктуры OpenAI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Да, возможно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договорные условия API; требования к трансграничной передаче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Higgsfield Inc.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Генерация/редактирование изображений и видео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промпт, изображения/видео и иные материалы, необходимые для генерации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США и иные локации инфраструктуры сервиса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условия API/сервиса; требования к трансграничной передаче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VK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 и аналитика подключённых аккаунтов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 доступа, идентификаторы аккаунтов, статистика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Нет при российской обработке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Одноклассники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 и аналитика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токены, идентификаторы, статистика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Нет при российской обработке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Дзен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 и аналитика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токены, идентификаторы, статистика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Нет при российской обработке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MAX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Публикация/уведомления при подключении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токены, идентификаторы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Россия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Нет при российской обработке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Telegram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 и уведомления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bot/API-токены, chat/channel ID и иные необходимые сведения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место обработки определяется Telegram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Да, возможно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Instagram / Threads / Facebook (Meta)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 и аналитика подключённых аккаунтов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 доступа, идентификаторы, статистика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иностранная инфраструктура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пользователя; использование только в пределах, разрешённых законодательством РФ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YouTube / Google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 и аналитика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токены, идентификаторы, статистика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иностранная инфраструктура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TikTok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Публикация/интеграция при технической доступности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токены, идентификаторы, статистика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иностранная инфраструктура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X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Публикация/интеграция при технической доступности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токены, идентификаторы, статистика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иностранная инфраструктура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Pinterest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Публикация и аналитика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контент, токены, идентификаторы, статистика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иностранная инфраструктура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инструкция пользователя / условия платформы</w:t>
            </w:r>
          </w:p>
        </w:tc>
      </w:tr>
    </w:tbl>
    <w:p>
      <w:pPr>
        <w:pStyle w:val="Heading1"/>
      </w:pPr>
      <w:r>
        <w:t>Правило для подключаемых пользователем интеграций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LABRICA передаёт данные социальной платформе только после подключения соответствующего аккаунта пользователем и в объёме операции, которую пользователь инициировал или настроил для автоматического выполнения. Отключение интеграции прекращает новые операции и должно приводить к удалению/отзыву сохранённых токенов в установленном порядке.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