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C5139" w14:textId="77777777" w:rsidR="00556F6B" w:rsidRDefault="00A719F2">
      <w:pPr>
        <w:pStyle w:val="af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Проректору по образовательной деятельности </w:t>
      </w:r>
    </w:p>
    <w:p w14:paraId="1164B992" w14:textId="1E6BF1BF" w:rsidR="00556F6B" w:rsidRDefault="00A719F2">
      <w:pPr>
        <w:pStyle w:val="af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СПБПУ им. Петра Великого Панковой </w:t>
      </w:r>
      <w:proofErr w:type="gramStart"/>
      <w:r>
        <w:rPr>
          <w:rFonts w:ascii="Times New Roman" w:hAnsi="Times New Roman" w:cs="Times New Roman"/>
        </w:rPr>
        <w:t>Л</w:t>
      </w:r>
      <w:r>
        <w:rPr>
          <w:rFonts w:ascii="Times New Roman" w:hAnsi="Times New Roman" w:cs="Times New Roman"/>
        </w:rPr>
        <w:t>.В.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02FE2EA" w14:textId="77777777" w:rsidR="00556F6B" w:rsidRDefault="00A719F2">
      <w:pPr>
        <w:pStyle w:val="af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от студентов 3-го курса СПбПУ ИКНТ </w:t>
      </w:r>
    </w:p>
    <w:p w14:paraId="282112C9" w14:textId="77777777" w:rsidR="00556F6B" w:rsidRDefault="00A719F2">
      <w:pPr>
        <w:pStyle w:val="af9"/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ПРИИНФ и МОАИС</w:t>
      </w:r>
    </w:p>
    <w:p w14:paraId="17DA7274" w14:textId="77777777" w:rsidR="00556F6B" w:rsidRDefault="00556F6B"/>
    <w:p w14:paraId="32657FEB" w14:textId="77777777" w:rsidR="00556F6B" w:rsidRDefault="00556F6B"/>
    <w:p w14:paraId="7AE9218D" w14:textId="77777777" w:rsidR="00556F6B" w:rsidRDefault="00556F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B90D7D" w14:textId="77777777" w:rsidR="00556F6B" w:rsidRDefault="00A719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p w14:paraId="42476A92" w14:textId="77777777" w:rsidR="00556F6B" w:rsidRDefault="00556F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4E97CB" w14:textId="67A980CA" w:rsidR="00556F6B" w:rsidRDefault="00A719F2" w:rsidP="00FF42C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важаемая Людмила Владимировна</w:t>
      </w:r>
      <w:r>
        <w:rPr>
          <w:rFonts w:ascii="Times New Roman" w:hAnsi="Times New Roman" w:cs="Times New Roman"/>
        </w:rPr>
        <w:t>! Студенты 3-го курса ИКНТ направлений «Прикладная информатика» и «Математическое обеспечение и администрирование информационных систем», просят Вас оказать помощь в решении ситуации, сложившейся с преподавателем предмета «Программ</w:t>
      </w:r>
      <w:r>
        <w:rPr>
          <w:rFonts w:ascii="Times New Roman" w:hAnsi="Times New Roman" w:cs="Times New Roman"/>
        </w:rPr>
        <w:t xml:space="preserve">ирование баз данных (Oracle)» Сабининым О.Ю. На данный момент преподавание   указанной учебной дисциплины реализуется </w:t>
      </w:r>
      <w:r w:rsidR="007D3F58">
        <w:rPr>
          <w:rFonts w:ascii="Times New Roman" w:hAnsi="Times New Roman" w:cs="Times New Roman"/>
        </w:rPr>
        <w:t>с нарушением норм образовательной деятельности</w:t>
      </w:r>
      <w:r w:rsidR="00F7372E">
        <w:rPr>
          <w:rFonts w:ascii="Times New Roman" w:hAnsi="Times New Roman" w:cs="Times New Roman"/>
        </w:rPr>
        <w:t xml:space="preserve"> (п.1.1</w:t>
      </w:r>
      <w:r w:rsidR="004010E5">
        <w:rPr>
          <w:rFonts w:ascii="Times New Roman" w:hAnsi="Times New Roman" w:cs="Times New Roman"/>
        </w:rPr>
        <w:t xml:space="preserve"> </w:t>
      </w:r>
      <w:r w:rsidR="00F7372E">
        <w:rPr>
          <w:rFonts w:ascii="Times New Roman" w:hAnsi="Times New Roman" w:cs="Times New Roman"/>
        </w:rPr>
        <w:t>48 «Закона об образовании РФ»</w:t>
      </w:r>
      <w:r w:rsidR="004010E5">
        <w:rPr>
          <w:rFonts w:ascii="Times New Roman" w:hAnsi="Times New Roman" w:cs="Times New Roman"/>
        </w:rPr>
        <w:t>, «положение о фондах оценочных средств образовательных программ высшего образования»</w:t>
      </w:r>
      <w:r w:rsidR="00F7372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68316704" w14:textId="3596C1D0" w:rsidR="000E62BE" w:rsidRDefault="00A719F2" w:rsidP="00C57EF3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Образовательный процесс</w:t>
      </w:r>
      <w:r w:rsidR="008307DD">
        <w:rPr>
          <w:rFonts w:ascii="Times New Roman" w:hAnsi="Times New Roman" w:cs="Times New Roman"/>
        </w:rPr>
        <w:t xml:space="preserve"> по данной дисциплине</w:t>
      </w:r>
      <w:r>
        <w:rPr>
          <w:rFonts w:ascii="Times New Roman" w:hAnsi="Times New Roman" w:cs="Times New Roman"/>
        </w:rPr>
        <w:t xml:space="preserve"> проходит с нарушениями, </w:t>
      </w:r>
      <w:proofErr w:type="gramStart"/>
      <w:r>
        <w:rPr>
          <w:rFonts w:ascii="Times New Roman" w:hAnsi="Times New Roman" w:cs="Times New Roman"/>
        </w:rPr>
        <w:t>т.к.</w:t>
      </w:r>
      <w:proofErr w:type="gramEnd"/>
      <w:r>
        <w:rPr>
          <w:rFonts w:ascii="Times New Roman" w:hAnsi="Times New Roman" w:cs="Times New Roman"/>
        </w:rPr>
        <w:t xml:space="preserve"> о</w:t>
      </w:r>
      <w:r w:rsidR="00DB13E2">
        <w:rPr>
          <w:rFonts w:ascii="Times New Roman" w:hAnsi="Times New Roman" w:cs="Times New Roman"/>
        </w:rPr>
        <w:t>тсутствует актуальная рабочая программа учебной дисциплины</w:t>
      </w:r>
      <w:r w:rsidR="001B5FC9">
        <w:rPr>
          <w:rFonts w:ascii="Times New Roman" w:hAnsi="Times New Roman" w:cs="Times New Roman"/>
        </w:rPr>
        <w:t xml:space="preserve">, а </w:t>
      </w:r>
      <w:r w:rsidR="00DB13E2">
        <w:rPr>
          <w:rFonts w:ascii="Times New Roman" w:hAnsi="Times New Roman" w:cs="Times New Roman"/>
        </w:rPr>
        <w:t xml:space="preserve">сам преподаватель </w:t>
      </w:r>
      <w:r w:rsidR="000E62BE">
        <w:rPr>
          <w:rFonts w:ascii="Times New Roman" w:hAnsi="Times New Roman" w:cs="Times New Roman"/>
        </w:rPr>
        <w:t xml:space="preserve">2 месяца </w:t>
      </w:r>
      <w:r w:rsidR="001B5FC9">
        <w:rPr>
          <w:rFonts w:ascii="Times New Roman" w:hAnsi="Times New Roman" w:cs="Times New Roman"/>
        </w:rPr>
        <w:t>игнорир</w:t>
      </w:r>
      <w:r w:rsidR="000E62BE">
        <w:rPr>
          <w:rFonts w:ascii="Times New Roman" w:hAnsi="Times New Roman" w:cs="Times New Roman"/>
        </w:rPr>
        <w:t>овал</w:t>
      </w:r>
      <w:r w:rsidR="001B5FC9">
        <w:rPr>
          <w:rFonts w:ascii="Times New Roman" w:hAnsi="Times New Roman" w:cs="Times New Roman"/>
        </w:rPr>
        <w:t xml:space="preserve"> просьбы ее предоставить</w:t>
      </w:r>
      <w:r w:rsidR="00DB13E2">
        <w:rPr>
          <w:rFonts w:ascii="Times New Roman" w:hAnsi="Times New Roman" w:cs="Times New Roman"/>
        </w:rPr>
        <w:t>, несмотря на неоднократные обращения к нему со стороны студентов</w:t>
      </w:r>
      <w:r w:rsidR="00F7372E">
        <w:rPr>
          <w:rFonts w:ascii="Times New Roman" w:hAnsi="Times New Roman" w:cs="Times New Roman"/>
        </w:rPr>
        <w:t xml:space="preserve"> и руководителей образовательной программы</w:t>
      </w:r>
      <w:r w:rsidR="00DB13E2">
        <w:rPr>
          <w:rFonts w:ascii="Times New Roman" w:hAnsi="Times New Roman" w:cs="Times New Roman"/>
        </w:rPr>
        <w:t xml:space="preserve">. </w:t>
      </w:r>
    </w:p>
    <w:p w14:paraId="73961C8E" w14:textId="51F61346" w:rsidR="000E62BE" w:rsidRDefault="000E62BE" w:rsidP="00C57EF3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предоставления актуальной рабочей программы у нас возникли подозрения, что она была составлена с нарушениями и</w:t>
      </w:r>
      <w:r w:rsidR="00142BAC">
        <w:rPr>
          <w:rFonts w:ascii="Times New Roman" w:hAnsi="Times New Roman" w:cs="Times New Roman"/>
        </w:rPr>
        <w:t>ли вовсе</w:t>
      </w:r>
      <w:r>
        <w:rPr>
          <w:rFonts w:ascii="Times New Roman" w:hAnsi="Times New Roman" w:cs="Times New Roman"/>
        </w:rPr>
        <w:t xml:space="preserve"> была «подстроена» под </w:t>
      </w:r>
      <w:r w:rsidR="00142BAC">
        <w:rPr>
          <w:rFonts w:ascii="Times New Roman" w:hAnsi="Times New Roman" w:cs="Times New Roman"/>
        </w:rPr>
        <w:t xml:space="preserve">наше </w:t>
      </w:r>
      <w:r>
        <w:rPr>
          <w:rFonts w:ascii="Times New Roman" w:hAnsi="Times New Roman" w:cs="Times New Roman"/>
        </w:rPr>
        <w:t>заявление. На это указывают следующие факты:</w:t>
      </w:r>
    </w:p>
    <w:p w14:paraId="502DB442" w14:textId="0A6373B3" w:rsidR="000E62BE" w:rsidRDefault="00701152" w:rsidP="000E62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Отсутствие подписей и печатей, что ставит под сомнение подлинность документа</w:t>
      </w:r>
    </w:p>
    <w:p w14:paraId="245A4304" w14:textId="62C80A3D" w:rsidR="00701152" w:rsidRDefault="00841E59" w:rsidP="000E62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РПД согласовано 27 апреля 2021 года комиссией состава ВШИИ для дисциплины «Математическое обеспечение и администрирование информационных систем», хотя, по той информации, которая у нас имеется (см. Приложение 1) данное направление переведено на ВШИИ с 1 сентября 2021 года</w:t>
      </w:r>
    </w:p>
    <w:p w14:paraId="2F3D9FED" w14:textId="37073705" w:rsidR="00841E59" w:rsidRDefault="00841E59" w:rsidP="000E62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РПД была согласована 27 апреля, то почему она не была предоставлена сразу?</w:t>
      </w:r>
    </w:p>
    <w:p w14:paraId="2AD685AC" w14:textId="4221A556" w:rsidR="00841E59" w:rsidRDefault="00841E59" w:rsidP="000E62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РПД указана </w:t>
      </w:r>
      <w:r w:rsidR="00ED36F4">
        <w:rPr>
          <w:rFonts w:ascii="Times New Roman" w:hAnsi="Times New Roman" w:cs="Times New Roman"/>
        </w:rPr>
        <w:t>одна контрольная работа, хотя преподаватель намеревался провести две контрольных работы, отменив последнюю за пару недель до конца семестра</w:t>
      </w:r>
    </w:p>
    <w:p w14:paraId="1FD0B068" w14:textId="105ED3C3" w:rsidR="00ED36F4" w:rsidRDefault="00ED36F4" w:rsidP="000E62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пункте 11.2 как оценочное средство указывается проведение тестов</w:t>
      </w:r>
      <w:r w:rsidR="00142BAC">
        <w:rPr>
          <w:rFonts w:ascii="Times New Roman" w:hAnsi="Times New Roman" w:cs="Times New Roman"/>
        </w:rPr>
        <w:t>, которых не проводилось</w:t>
      </w:r>
    </w:p>
    <w:p w14:paraId="2911A429" w14:textId="7C4E4D7B" w:rsidR="00142BAC" w:rsidRDefault="00142BAC" w:rsidP="000E62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Задачи для контрольной работы даже близко по теме не совпадают с реальными задачами</w:t>
      </w:r>
    </w:p>
    <w:p w14:paraId="62FF6BEE" w14:textId="5C0DDEA2" w:rsidR="00142BAC" w:rsidRDefault="00142BAC" w:rsidP="00142B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Просим Вас дополнительно разобраться в данной ситуации.</w:t>
      </w:r>
    </w:p>
    <w:p w14:paraId="1B22D9CD" w14:textId="655A690F" w:rsidR="00142BAC" w:rsidRPr="00142BAC" w:rsidRDefault="00142BAC" w:rsidP="00142B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Помимо вышеуказанной проблемы хотим обозначить те, которые прямо влияют на освоение студентами дисциплины:</w:t>
      </w:r>
    </w:p>
    <w:p w14:paraId="1E84F295" w14:textId="7955B5EE" w:rsidR="00556F6B" w:rsidRPr="003F2F6E" w:rsidRDefault="00DB13E2" w:rsidP="00C57EF3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Преподаваемый материал</w:t>
      </w:r>
      <w:r w:rsidR="00EE2058">
        <w:rPr>
          <w:rFonts w:ascii="Times New Roman" w:hAnsi="Times New Roman" w:cs="Times New Roman"/>
        </w:rPr>
        <w:t xml:space="preserve"> дисциплины</w:t>
      </w:r>
      <w:r>
        <w:rPr>
          <w:rFonts w:ascii="Times New Roman" w:hAnsi="Times New Roman" w:cs="Times New Roman"/>
        </w:rPr>
        <w:t xml:space="preserve"> плохо структурирован и систематизирован</w:t>
      </w:r>
      <w:r w:rsidR="00C14CF2">
        <w:rPr>
          <w:rFonts w:ascii="Times New Roman" w:hAnsi="Times New Roman" w:cs="Times New Roman"/>
        </w:rPr>
        <w:t>.</w:t>
      </w:r>
      <w:r w:rsidR="001749F2">
        <w:rPr>
          <w:rFonts w:ascii="Times New Roman" w:hAnsi="Times New Roman" w:cs="Times New Roman"/>
        </w:rPr>
        <w:t xml:space="preserve"> На вопросы по поводу </w:t>
      </w:r>
      <w:r w:rsidR="00F52F43">
        <w:rPr>
          <w:rFonts w:ascii="Times New Roman" w:hAnsi="Times New Roman" w:cs="Times New Roman"/>
        </w:rPr>
        <w:t xml:space="preserve">выдаваемых им </w:t>
      </w:r>
      <w:r w:rsidR="001749F2">
        <w:rPr>
          <w:rFonts w:ascii="Times New Roman" w:hAnsi="Times New Roman" w:cs="Times New Roman"/>
        </w:rPr>
        <w:t xml:space="preserve">задач преподаватель не </w:t>
      </w:r>
      <w:r w:rsidR="00483A69">
        <w:rPr>
          <w:rFonts w:ascii="Times New Roman" w:hAnsi="Times New Roman" w:cs="Times New Roman"/>
        </w:rPr>
        <w:t>отвечает</w:t>
      </w:r>
      <w:r w:rsidR="001749F2">
        <w:rPr>
          <w:rFonts w:ascii="Times New Roman" w:hAnsi="Times New Roman" w:cs="Times New Roman"/>
        </w:rPr>
        <w:t xml:space="preserve">, </w:t>
      </w:r>
      <w:r w:rsidR="00483A69">
        <w:rPr>
          <w:rFonts w:ascii="Times New Roman" w:hAnsi="Times New Roman" w:cs="Times New Roman"/>
        </w:rPr>
        <w:t>из-за чего у</w:t>
      </w:r>
      <w:r w:rsidR="001749F2">
        <w:rPr>
          <w:rFonts w:ascii="Times New Roman" w:hAnsi="Times New Roman" w:cs="Times New Roman"/>
        </w:rPr>
        <w:t xml:space="preserve"> </w:t>
      </w:r>
      <w:r w:rsidR="004034D2">
        <w:rPr>
          <w:rFonts w:ascii="Times New Roman" w:hAnsi="Times New Roman" w:cs="Times New Roman"/>
        </w:rPr>
        <w:t>студент</w:t>
      </w:r>
      <w:r w:rsidR="00483A69">
        <w:rPr>
          <w:rFonts w:ascii="Times New Roman" w:hAnsi="Times New Roman" w:cs="Times New Roman"/>
        </w:rPr>
        <w:t>ов нет</w:t>
      </w:r>
      <w:r w:rsidR="004034D2">
        <w:rPr>
          <w:rFonts w:ascii="Times New Roman" w:hAnsi="Times New Roman" w:cs="Times New Roman"/>
        </w:rPr>
        <w:t xml:space="preserve"> возможности</w:t>
      </w:r>
      <w:r w:rsidR="001749F2">
        <w:rPr>
          <w:rFonts w:ascii="Times New Roman" w:hAnsi="Times New Roman" w:cs="Times New Roman"/>
        </w:rPr>
        <w:t xml:space="preserve"> </w:t>
      </w:r>
      <w:r w:rsidR="00483A69">
        <w:rPr>
          <w:rFonts w:ascii="Times New Roman" w:hAnsi="Times New Roman" w:cs="Times New Roman"/>
        </w:rPr>
        <w:t>разобраться в материале</w:t>
      </w:r>
      <w:r w:rsidR="004034D2">
        <w:rPr>
          <w:rFonts w:ascii="Times New Roman" w:hAnsi="Times New Roman" w:cs="Times New Roman"/>
        </w:rPr>
        <w:t xml:space="preserve"> в полной мере</w:t>
      </w:r>
      <w:r w:rsidR="001749F2">
        <w:rPr>
          <w:rFonts w:ascii="Times New Roman" w:hAnsi="Times New Roman" w:cs="Times New Roman"/>
        </w:rPr>
        <w:t>.</w:t>
      </w:r>
    </w:p>
    <w:p w14:paraId="6D5AF0A1" w14:textId="7E23B044" w:rsidR="00556F6B" w:rsidRDefault="00A719F2" w:rsidP="00067B18">
      <w:pPr>
        <w:ind w:firstLine="708"/>
        <w:jc w:val="both"/>
        <w:rPr>
          <w:rFonts w:ascii="Times New Roman" w:hAnsi="Times New Roman" w:cs="Times New Roman"/>
        </w:rPr>
      </w:pPr>
      <w:r w:rsidRPr="00A0044F">
        <w:rPr>
          <w:rFonts w:ascii="Times New Roman" w:hAnsi="Times New Roman" w:cs="Times New Roman"/>
        </w:rPr>
        <w:t>Текущий контроль знаний в виде контрольных работ проводится с нарушениями, т.к. выделяемое для контрольной время не соответствует уровню сложности задач, выносимых на нее, а большинство вопросо</w:t>
      </w:r>
      <w:r w:rsidR="00E80ADD">
        <w:rPr>
          <w:rFonts w:ascii="Times New Roman" w:hAnsi="Times New Roman" w:cs="Times New Roman"/>
        </w:rPr>
        <w:t>в</w:t>
      </w:r>
      <w:r w:rsidRPr="00A0044F">
        <w:rPr>
          <w:rFonts w:ascii="Times New Roman" w:hAnsi="Times New Roman" w:cs="Times New Roman"/>
        </w:rPr>
        <w:t xml:space="preserve"> направлен</w:t>
      </w:r>
      <w:r w:rsidRPr="00A0044F">
        <w:rPr>
          <w:rFonts w:ascii="Times New Roman" w:hAnsi="Times New Roman" w:cs="Times New Roman"/>
        </w:rPr>
        <w:t>о на знание материала, на которое либо совсем не акцентировалось, либо мало акцентировалось внимание преподавателя на лекциях</w:t>
      </w:r>
      <w:r w:rsidR="00E80ADD">
        <w:rPr>
          <w:rFonts w:ascii="Times New Roman" w:hAnsi="Times New Roman" w:cs="Times New Roman"/>
        </w:rPr>
        <w:t xml:space="preserve">. </w:t>
      </w:r>
      <w:r w:rsidR="00D6228B">
        <w:rPr>
          <w:rFonts w:ascii="Times New Roman" w:hAnsi="Times New Roman" w:cs="Times New Roman"/>
        </w:rPr>
        <w:t xml:space="preserve">Вынесенный на </w:t>
      </w:r>
      <w:r w:rsidR="00D6228B">
        <w:rPr>
          <w:rFonts w:ascii="Times New Roman" w:hAnsi="Times New Roman" w:cs="Times New Roman"/>
        </w:rPr>
        <w:lastRenderedPageBreak/>
        <w:t>текущую аттестацию</w:t>
      </w:r>
      <w:r w:rsidR="00E80ADD">
        <w:rPr>
          <w:rFonts w:ascii="Times New Roman" w:hAnsi="Times New Roman" w:cs="Times New Roman"/>
        </w:rPr>
        <w:t xml:space="preserve"> материал также отсутствует в текстовом формате лекций, из чего можно сделать вывод, что он не должен составлять большую часть материала контрольной.</w:t>
      </w:r>
      <w:r w:rsidR="00CB2130">
        <w:rPr>
          <w:rFonts w:ascii="Times New Roman" w:hAnsi="Times New Roman" w:cs="Times New Roman"/>
        </w:rPr>
        <w:t xml:space="preserve"> </w:t>
      </w:r>
      <w:r w:rsidR="00EE2058">
        <w:rPr>
          <w:rFonts w:ascii="Times New Roman" w:hAnsi="Times New Roman" w:cs="Times New Roman"/>
        </w:rPr>
        <w:t>В</w:t>
      </w:r>
      <w:r w:rsidR="00D6228B">
        <w:rPr>
          <w:rFonts w:ascii="Times New Roman" w:hAnsi="Times New Roman" w:cs="Times New Roman"/>
        </w:rPr>
        <w:t xml:space="preserve"> некоторых вопросах допущены синтаксические ошибки, которые непосредственно влияют на результат проверяемой на контрольной задачи.</w:t>
      </w:r>
      <w:r w:rsidR="00067B18" w:rsidRPr="00067B18">
        <w:rPr>
          <w:rFonts w:ascii="Times New Roman" w:hAnsi="Times New Roman" w:cs="Times New Roman"/>
        </w:rPr>
        <w:t xml:space="preserve"> </w:t>
      </w:r>
      <w:r w:rsidR="00DB13E2">
        <w:rPr>
          <w:rFonts w:ascii="Times New Roman" w:hAnsi="Times New Roman" w:cs="Times New Roman"/>
        </w:rPr>
        <w:t>Студенты лишены возможности увидеть свои ошибки и провести работу над ними, т.к. преподаватель не дает возможности ознакомиться с результатами контрольной работы. Причины, по которым работы не были зачтены, не ясны, и проверить их студенты не могут, в связи с отсутствием доступа к своим выполненным работам. По результатам первой контрольной работы оценку «не зач</w:t>
      </w:r>
      <w:r w:rsidR="00067B18">
        <w:rPr>
          <w:rFonts w:ascii="Times New Roman" w:hAnsi="Times New Roman" w:cs="Times New Roman"/>
        </w:rPr>
        <w:t>ет</w:t>
      </w:r>
      <w:r w:rsidR="00DB13E2">
        <w:rPr>
          <w:rFonts w:ascii="Times New Roman" w:hAnsi="Times New Roman" w:cs="Times New Roman"/>
        </w:rPr>
        <w:t xml:space="preserve">» получили более 60 % студентов. </w:t>
      </w:r>
    </w:p>
    <w:p w14:paraId="54CE3AA9" w14:textId="7D39C748" w:rsidR="00556F6B" w:rsidRDefault="00A719F2" w:rsidP="00067B1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заявленное Сабининым О.Ю. количество лабораторных работ недостаточно выделенного учебного времени, поэтому </w:t>
      </w:r>
      <w:r w:rsidR="00EE7B0D" w:rsidRPr="00EE7B0D">
        <w:rPr>
          <w:rFonts w:ascii="Times New Roman" w:hAnsi="Times New Roman" w:cs="Times New Roman"/>
        </w:rPr>
        <w:t>у студентов нет возможности сдать лабораторные за отведённое время</w:t>
      </w:r>
      <w:r>
        <w:rPr>
          <w:rFonts w:ascii="Times New Roman" w:hAnsi="Times New Roman" w:cs="Times New Roman"/>
        </w:rPr>
        <w:t>. Несда</w:t>
      </w:r>
      <w:r>
        <w:rPr>
          <w:rFonts w:ascii="Times New Roman" w:hAnsi="Times New Roman" w:cs="Times New Roman"/>
        </w:rPr>
        <w:t>ча этих работ в полном объеме до начала сессии влечет недопуск к ней.</w:t>
      </w:r>
    </w:p>
    <w:p w14:paraId="06AD4E13" w14:textId="29E669D4" w:rsidR="00556F6B" w:rsidRDefault="00A719F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данной ситуацией было ознакомлено руководство наших </w:t>
      </w:r>
      <w:r w:rsidR="00690E1F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ысших школ - Ицыксон В.М.,   Мулюха В.А., а также Директор ИКНТ Уткин Л.В</w:t>
      </w:r>
      <w:r w:rsidR="00A5388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В результате заседания собранной ими комиссии, были предложены меры лишь по увеличению дополнительных часов для сдачи лабораторных работ</w:t>
      </w:r>
      <w:r w:rsidR="007336C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которых все равно недостаточно. На остальные наши претензии, изложенные в жалобе, ответа </w:t>
      </w:r>
      <w:r w:rsidR="00B3554C">
        <w:rPr>
          <w:rFonts w:ascii="Times New Roman" w:hAnsi="Times New Roman" w:cs="Times New Roman"/>
        </w:rPr>
        <w:t>получено не было</w:t>
      </w:r>
      <w:r>
        <w:rPr>
          <w:rFonts w:ascii="Times New Roman" w:hAnsi="Times New Roman" w:cs="Times New Roman"/>
        </w:rPr>
        <w:t>. Сабинин О.</w:t>
      </w:r>
      <w:r w:rsidR="007336CC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 xml:space="preserve">. прокомментировал данную ситуацию с позиции, что </w:t>
      </w:r>
      <w:r w:rsidR="00C57EF3">
        <w:rPr>
          <w:rFonts w:ascii="Times New Roman" w:hAnsi="Times New Roman" w:cs="Times New Roman"/>
        </w:rPr>
        <w:t>студенты</w:t>
      </w:r>
      <w:r>
        <w:rPr>
          <w:rFonts w:ascii="Times New Roman" w:hAnsi="Times New Roman" w:cs="Times New Roman"/>
        </w:rPr>
        <w:t xml:space="preserve"> «плохо разбира</w:t>
      </w:r>
      <w:r w:rsidR="00C57EF3">
        <w:rPr>
          <w:rFonts w:ascii="Times New Roman" w:hAnsi="Times New Roman" w:cs="Times New Roman"/>
        </w:rPr>
        <w:t>ют</w:t>
      </w:r>
      <w:r>
        <w:rPr>
          <w:rFonts w:ascii="Times New Roman" w:hAnsi="Times New Roman" w:cs="Times New Roman"/>
        </w:rPr>
        <w:t>ся в предмете», в то время как проблемы с</w:t>
      </w:r>
      <w:r w:rsidR="00C57EF3">
        <w:rPr>
          <w:rFonts w:ascii="Times New Roman" w:hAnsi="Times New Roman" w:cs="Times New Roman"/>
        </w:rPr>
        <w:t xml:space="preserve"> допуском на экзамен имеются у подавляющего большинства студентов.</w:t>
      </w:r>
    </w:p>
    <w:p w14:paraId="1FC46556" w14:textId="77853727" w:rsidR="00556F6B" w:rsidRDefault="00A719F2" w:rsidP="007336C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ознакомления Сабинина О.Ю. с нашей жалобой, им была поставлена </w:t>
      </w:r>
      <w:r w:rsidR="00C4307E">
        <w:rPr>
          <w:rFonts w:ascii="Times New Roman" w:hAnsi="Times New Roman" w:cs="Times New Roman"/>
        </w:rPr>
        <w:t xml:space="preserve">единственная </w:t>
      </w:r>
      <w:r>
        <w:rPr>
          <w:rFonts w:ascii="Times New Roman" w:hAnsi="Times New Roman" w:cs="Times New Roman"/>
        </w:rPr>
        <w:t>переписка контрольной работы, куда были внесены задачи еще большей сложности. На контрольную длительностью 4</w:t>
      </w:r>
      <w:r w:rsidR="00B461D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минут</w:t>
      </w:r>
      <w:r w:rsidR="00EE20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было вынесено 20 задач</w:t>
      </w:r>
      <w:r w:rsidR="00C26402">
        <w:rPr>
          <w:rFonts w:ascii="Times New Roman" w:hAnsi="Times New Roman" w:cs="Times New Roman"/>
        </w:rPr>
        <w:t>, среди которых многие были</w:t>
      </w:r>
      <w:r>
        <w:rPr>
          <w:rFonts w:ascii="Times New Roman" w:hAnsi="Times New Roman" w:cs="Times New Roman"/>
        </w:rPr>
        <w:t xml:space="preserve"> повышенной трудности</w:t>
      </w:r>
      <w:r w:rsidR="001749F2">
        <w:rPr>
          <w:rFonts w:ascii="Times New Roman" w:hAnsi="Times New Roman" w:cs="Times New Roman"/>
        </w:rPr>
        <w:t xml:space="preserve"> и</w:t>
      </w:r>
      <w:r w:rsidR="00A5388D">
        <w:rPr>
          <w:rFonts w:ascii="Times New Roman" w:hAnsi="Times New Roman" w:cs="Times New Roman"/>
        </w:rPr>
        <w:t>ли</w:t>
      </w:r>
      <w:r w:rsidR="001749F2">
        <w:rPr>
          <w:rFonts w:ascii="Times New Roman" w:hAnsi="Times New Roman" w:cs="Times New Roman"/>
        </w:rPr>
        <w:t xml:space="preserve"> включали в себя </w:t>
      </w:r>
      <w:r w:rsidR="00142BAC">
        <w:rPr>
          <w:rFonts w:ascii="Times New Roman" w:hAnsi="Times New Roman" w:cs="Times New Roman"/>
        </w:rPr>
        <w:t>объемн</w:t>
      </w:r>
      <w:r>
        <w:rPr>
          <w:rFonts w:ascii="Times New Roman" w:hAnsi="Times New Roman" w:cs="Times New Roman"/>
        </w:rPr>
        <w:t>ый ответ</w:t>
      </w:r>
      <w:r>
        <w:rPr>
          <w:rFonts w:ascii="Times New Roman" w:hAnsi="Times New Roman" w:cs="Times New Roman"/>
        </w:rPr>
        <w:t>. За это время было невозможно даже прочитать и обдумать условия всех заданий, не то что изложить развернутое решение</w:t>
      </w:r>
      <w:r w:rsidR="00363422">
        <w:rPr>
          <w:rFonts w:ascii="Times New Roman" w:hAnsi="Times New Roman" w:cs="Times New Roman"/>
        </w:rPr>
        <w:t xml:space="preserve"> и обосновать его, чего требует преподаватель</w:t>
      </w:r>
      <w:r>
        <w:rPr>
          <w:rFonts w:ascii="Times New Roman" w:hAnsi="Times New Roman" w:cs="Times New Roman"/>
        </w:rPr>
        <w:t xml:space="preserve">. Отметим, что зачет контрольной работы является </w:t>
      </w:r>
      <w:r>
        <w:rPr>
          <w:rFonts w:ascii="Times New Roman" w:hAnsi="Times New Roman" w:cs="Times New Roman"/>
        </w:rPr>
        <w:t xml:space="preserve">допуском к сессии. </w:t>
      </w:r>
    </w:p>
    <w:p w14:paraId="16E61A6C" w14:textId="7EFD8812" w:rsidR="00721179" w:rsidRDefault="00A719F2" w:rsidP="00721179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Мы </w:t>
      </w:r>
      <w:r w:rsidRPr="00483A69">
        <w:rPr>
          <w:rFonts w:ascii="Times New Roman" w:hAnsi="Times New Roman" w:cs="Times New Roman"/>
        </w:rPr>
        <w:t>считаем, что вышеперечисленные причины не позволяют студентам усвоить материал в полной мере, а также став</w:t>
      </w:r>
      <w:r>
        <w:rPr>
          <w:rFonts w:ascii="Times New Roman" w:hAnsi="Times New Roman" w:cs="Times New Roman"/>
        </w:rPr>
        <w:t>я</w:t>
      </w:r>
      <w:r w:rsidRPr="00483A69">
        <w:rPr>
          <w:rFonts w:ascii="Times New Roman" w:hAnsi="Times New Roman" w:cs="Times New Roman"/>
        </w:rPr>
        <w:t>т под угрозу отчисления даже мотивированных студентов</w:t>
      </w:r>
      <w:r>
        <w:rPr>
          <w:rFonts w:ascii="Times New Roman" w:hAnsi="Times New Roman" w:cs="Times New Roman"/>
        </w:rPr>
        <w:t xml:space="preserve">. </w:t>
      </w:r>
    </w:p>
    <w:p w14:paraId="4C705FEB" w14:textId="4D974CAB" w:rsidR="00556F6B" w:rsidRDefault="00A719F2" w:rsidP="0036342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сегодняшний момент, к сессии по данному предмету не допущено более </w:t>
      </w:r>
      <w:r>
        <w:rPr>
          <w:rFonts w:ascii="Times New Roman" w:hAnsi="Times New Roman" w:cs="Times New Roman"/>
        </w:rPr>
        <w:t>2/3 студентов всего потока. В свете происходящих событий, у нас есть все основания полагать, что преподаватель Сабинин О.Ю. не сможет объективно и беспристрастно провести промежуточную аттестацию по результатам 5 семестра.</w:t>
      </w:r>
    </w:p>
    <w:p w14:paraId="0E1CA5BF" w14:textId="5FCBF7A4" w:rsidR="00556F6B" w:rsidRDefault="00A719F2" w:rsidP="0036342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DB13E2">
        <w:rPr>
          <w:rFonts w:ascii="Times New Roman" w:hAnsi="Times New Roman" w:cs="Times New Roman"/>
        </w:rPr>
        <w:t xml:space="preserve">уководство наших </w:t>
      </w:r>
      <w:r>
        <w:rPr>
          <w:rFonts w:ascii="Times New Roman" w:hAnsi="Times New Roman" w:cs="Times New Roman"/>
        </w:rPr>
        <w:t>в</w:t>
      </w:r>
      <w:r w:rsidR="00DB13E2">
        <w:rPr>
          <w:rFonts w:ascii="Times New Roman" w:hAnsi="Times New Roman" w:cs="Times New Roman"/>
        </w:rPr>
        <w:t xml:space="preserve">ысших школ </w:t>
      </w:r>
      <w:r>
        <w:rPr>
          <w:rFonts w:ascii="Times New Roman" w:hAnsi="Times New Roman" w:cs="Times New Roman"/>
        </w:rPr>
        <w:t xml:space="preserve">не </w:t>
      </w:r>
      <w:r>
        <w:rPr>
          <w:rFonts w:ascii="Times New Roman" w:hAnsi="Times New Roman" w:cs="Times New Roman"/>
        </w:rPr>
        <w:t>предпринимает никаких мер относительно сложившейся ситуации</w:t>
      </w:r>
      <w:r w:rsidR="00DB13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то время как</w:t>
      </w:r>
      <w:r w:rsidR="00DB13E2">
        <w:rPr>
          <w:rFonts w:ascii="Times New Roman" w:hAnsi="Times New Roman" w:cs="Times New Roman"/>
        </w:rPr>
        <w:t xml:space="preserve"> жалобы на Сабинина О.Ю. подаются ежегодно.</w:t>
      </w:r>
      <w:r w:rsidR="00363422">
        <w:rPr>
          <w:rFonts w:ascii="Times New Roman" w:hAnsi="Times New Roman" w:cs="Times New Roman"/>
        </w:rPr>
        <w:t xml:space="preserve"> Несмотря на то, что Пак В.Г. стара</w:t>
      </w:r>
      <w:r>
        <w:rPr>
          <w:rFonts w:ascii="Times New Roman" w:hAnsi="Times New Roman" w:cs="Times New Roman"/>
        </w:rPr>
        <w:t>ется</w:t>
      </w:r>
      <w:r w:rsidR="00363422">
        <w:rPr>
          <w:rFonts w:ascii="Times New Roman" w:hAnsi="Times New Roman" w:cs="Times New Roman"/>
        </w:rPr>
        <w:t xml:space="preserve"> </w:t>
      </w:r>
      <w:r w:rsidR="00B3554C">
        <w:rPr>
          <w:rFonts w:ascii="Times New Roman" w:hAnsi="Times New Roman" w:cs="Times New Roman"/>
        </w:rPr>
        <w:t>нам посодействовать,</w:t>
      </w:r>
      <w:r w:rsidR="00363422">
        <w:rPr>
          <w:rFonts w:ascii="Times New Roman" w:hAnsi="Times New Roman" w:cs="Times New Roman"/>
        </w:rPr>
        <w:t xml:space="preserve"> остальные члены комиссии в лице Щукина А.В., Мулюхи В.А. и Ицыксона В.М. отказываются</w:t>
      </w:r>
      <w:r w:rsidR="003F6ECC">
        <w:rPr>
          <w:rFonts w:ascii="Times New Roman" w:hAnsi="Times New Roman" w:cs="Times New Roman"/>
        </w:rPr>
        <w:t xml:space="preserve"> признавать наличие проблемы</w:t>
      </w:r>
      <w:r w:rsidR="00363422">
        <w:rPr>
          <w:rFonts w:ascii="Times New Roman" w:hAnsi="Times New Roman" w:cs="Times New Roman"/>
        </w:rPr>
        <w:t>.</w:t>
      </w:r>
    </w:p>
    <w:p w14:paraId="725793AF" w14:textId="4D690D33" w:rsidR="00556F6B" w:rsidRDefault="00A719F2" w:rsidP="00AE18F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связи с вышеизложенным, просим заменить преподавателя Сабинина О.Ю. на преподавателя Андрианову Е.Е. или любого другого преподавателя, являющегося специалистом в данной области, для приема экзамена по предмету «Программирование баз данных (Oracle)» на 3-</w:t>
      </w:r>
      <w:r>
        <w:rPr>
          <w:rFonts w:ascii="Times New Roman" w:hAnsi="Times New Roman" w:cs="Times New Roman"/>
        </w:rPr>
        <w:t>м курсе по направлениям ПриИнф и МОАИС ИКНТ.</w:t>
      </w:r>
      <w:r w:rsidR="00AE18FD" w:rsidRPr="00AE18FD">
        <w:rPr>
          <w:rFonts w:ascii="Times New Roman" w:hAnsi="Times New Roman" w:cs="Times New Roman"/>
        </w:rPr>
        <w:t xml:space="preserve"> </w:t>
      </w:r>
      <w:r w:rsidR="00AE18FD">
        <w:rPr>
          <w:rFonts w:ascii="Times New Roman" w:hAnsi="Times New Roman" w:cs="Times New Roman"/>
        </w:rPr>
        <w:t xml:space="preserve">Также мы просим не учитывать результаты контрольной работы как зачетной единицы, т.к. </w:t>
      </w:r>
      <w:r w:rsidR="00AF19D5">
        <w:rPr>
          <w:rFonts w:ascii="Times New Roman" w:hAnsi="Times New Roman" w:cs="Times New Roman"/>
        </w:rPr>
        <w:t>считаем, что она была проведена с нарушениями согласно пункту 5.2 положения «о фондах оценочных средств образовательных программ высшего образования»</w:t>
      </w:r>
      <w:r w:rsidR="00AE18FD">
        <w:rPr>
          <w:rFonts w:ascii="Times New Roman" w:hAnsi="Times New Roman" w:cs="Times New Roman"/>
        </w:rPr>
        <w:t>.</w:t>
      </w:r>
    </w:p>
    <w:p w14:paraId="24C9A02E" w14:textId="1173BEF7" w:rsidR="00556F6B" w:rsidRPr="00483A69" w:rsidRDefault="00A719F2" w:rsidP="00AE18F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Перечень претензий по учебному процессу к Сабинину О.Ю., а также подписи 72-х студентов прилагаем.</w:t>
      </w:r>
      <w:r w:rsidR="00AE18FD">
        <w:rPr>
          <w:rFonts w:ascii="Times New Roman" w:hAnsi="Times New Roman" w:cs="Times New Roman"/>
        </w:rPr>
        <w:t xml:space="preserve"> </w:t>
      </w:r>
    </w:p>
    <w:p w14:paraId="6612C513" w14:textId="77777777" w:rsidR="00556F6B" w:rsidRDefault="00556F6B"/>
    <w:sectPr w:rsidR="00556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030CF"/>
    <w:multiLevelType w:val="hybridMultilevel"/>
    <w:tmpl w:val="543C0A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F6B"/>
    <w:rsid w:val="00067B18"/>
    <w:rsid w:val="000D465F"/>
    <w:rsid w:val="000E62BE"/>
    <w:rsid w:val="00142BAC"/>
    <w:rsid w:val="0014559A"/>
    <w:rsid w:val="00170A51"/>
    <w:rsid w:val="001749F2"/>
    <w:rsid w:val="001B5FC9"/>
    <w:rsid w:val="001C2400"/>
    <w:rsid w:val="001D1C1A"/>
    <w:rsid w:val="00363422"/>
    <w:rsid w:val="003D58FA"/>
    <w:rsid w:val="003F2F6E"/>
    <w:rsid w:val="003F6ECC"/>
    <w:rsid w:val="004010E5"/>
    <w:rsid w:val="004034D2"/>
    <w:rsid w:val="0047790F"/>
    <w:rsid w:val="00483A69"/>
    <w:rsid w:val="0053384D"/>
    <w:rsid w:val="00556F6B"/>
    <w:rsid w:val="00651103"/>
    <w:rsid w:val="00690E1F"/>
    <w:rsid w:val="006F1F7E"/>
    <w:rsid w:val="00701152"/>
    <w:rsid w:val="00721179"/>
    <w:rsid w:val="007336CC"/>
    <w:rsid w:val="007D3F58"/>
    <w:rsid w:val="008307DD"/>
    <w:rsid w:val="00841E59"/>
    <w:rsid w:val="009674A8"/>
    <w:rsid w:val="009B5CB1"/>
    <w:rsid w:val="00A0044F"/>
    <w:rsid w:val="00A5388D"/>
    <w:rsid w:val="00A719F2"/>
    <w:rsid w:val="00AE18FD"/>
    <w:rsid w:val="00AF19D5"/>
    <w:rsid w:val="00B3554C"/>
    <w:rsid w:val="00B461D7"/>
    <w:rsid w:val="00C14CF2"/>
    <w:rsid w:val="00C26402"/>
    <w:rsid w:val="00C4307E"/>
    <w:rsid w:val="00C57EF3"/>
    <w:rsid w:val="00C605F3"/>
    <w:rsid w:val="00CB2130"/>
    <w:rsid w:val="00CF4EAD"/>
    <w:rsid w:val="00D6228B"/>
    <w:rsid w:val="00DB13E2"/>
    <w:rsid w:val="00E15A1A"/>
    <w:rsid w:val="00E80ADD"/>
    <w:rsid w:val="00ED36F4"/>
    <w:rsid w:val="00EE2058"/>
    <w:rsid w:val="00EE7B0D"/>
    <w:rsid w:val="00F52F43"/>
    <w:rsid w:val="00F7372E"/>
    <w:rsid w:val="00FF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EDAEF"/>
  <w15:docId w15:val="{6C171252-970E-4036-B7DC-B70EB5D1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il"/>
        <w:bottom w:val="single" w:sz="4" w:space="0" w:color="000000" w:themeColor="text1"/>
        <w:right w:val="nil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Покровский Валерий Дмитриевич</cp:lastModifiedBy>
  <cp:revision>1</cp:revision>
  <dcterms:created xsi:type="dcterms:W3CDTF">2021-12-22T11:57:00Z</dcterms:created>
  <dcterms:modified xsi:type="dcterms:W3CDTF">2021-12-22T12:25:00Z</dcterms:modified>
</cp:coreProperties>
</file>