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64"/>
      </w:pPr>
      <w:r>
        <w:rPr>
          <w:rFonts w:ascii="Arial" w:hAnsi="Arial"/>
          <w:b/>
          <w:color w:val="215FA6"/>
          <w:sz w:val="20"/>
        </w:rPr>
        <w:t>POSTCARDS STUDIO</w:t>
      </w:r>
    </w:p>
    <w:p>
      <w:pPr>
        <w:keepNext/>
        <w:spacing w:before="280" w:after="240"/>
      </w:pPr>
      <w:r>
        <w:rPr>
          <w:rFonts w:ascii="Arial" w:hAnsi="Arial"/>
          <w:b/>
          <w:color w:val="171717"/>
          <w:sz w:val="54"/>
        </w:rPr>
        <w:t>Обоснование стоимости разработки</w:t>
      </w:r>
    </w:p>
    <w:p>
      <w:pPr>
        <w:pStyle w:val="Subtitle"/>
      </w:pPr>
      <w:r>
        <w:t>Состав результата расчётная трудоёмкость и границы суммы 210 000 рублей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EAF2FB"/>
            <w:tcBorders>
              <w:top w:val="single" w:sz="5" w:color="C7D8EC"/>
              <w:left w:val="single" w:sz="5" w:color="C7D8EC"/>
              <w:bottom w:val="single" w:sz="5" w:color="C7D8EC"/>
              <w:right w:val="single" w:sz="5" w:color="C7D8EC"/>
              <w:insideH w:val="single" w:sz="5" w:color="C7D8EC"/>
              <w:insideV w:val="single" w:sz="5" w:color="C7D8EC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100"/>
            </w:pPr>
            <w:r>
              <w:rPr>
                <w:b/>
              </w:rPr>
              <w:t>Для кого</w:t>
            </w:r>
          </w:p>
          <w:p>
            <w:pPr>
              <w:spacing w:after="0"/>
            </w:pPr>
            <w:r>
              <w:t>Заказчик проекта и сотрудники музея которые согласуют результат и бюджет</w:t>
            </w:r>
          </w:p>
        </w:tc>
      </w:tr>
    </w:tbl>
    <w:p>
      <w:pPr>
        <w:spacing w:before="4680"/>
        <w:jc w:val="right"/>
      </w:pPr>
      <w:r>
        <w:rPr>
          <w:color w:val="5E6570"/>
          <w:sz w:val="18"/>
        </w:rPr>
        <w:t>Версия от 19 октября 2026</w:t>
      </w:r>
    </w:p>
    <w:p>
      <w:r>
        <w:br w:type="page"/>
      </w:r>
    </w:p>
    <w:p>
      <w:pPr>
        <w:pStyle w:val="Heading1"/>
      </w:pPr>
      <w:r>
        <w:t>Вывод</w:t>
      </w:r>
    </w:p>
    <w:p>
      <w:pPr>
        <w:spacing w:after="140"/>
      </w:pPr>
      <w:r>
        <w:rPr>
          <w:rFonts w:ascii="Arial" w:hAnsi="Arial"/>
          <w:b/>
          <w:color w:val="171717"/>
          <w:sz w:val="22"/>
        </w:rPr>
        <w:t xml:space="preserve">Стоимость разработки составляет 210 000 рублей. </w:t>
      </w:r>
      <w:r>
        <w:rPr>
          <w:rFonts w:ascii="Arial" w:hAnsi="Arial"/>
          <w:color w:val="171717"/>
          <w:sz w:val="22"/>
        </w:rPr>
        <w:t>Она рассчитана как 140 часов работы по ставке 1 500 рублей в час. В сумму входит создание действующей системы из веб-сервиса, серверной части, совместного редактора, механизма публикации, доставки материалов на выставку, интеграции с десктопным приложением, проверок и документации. Это фиксированная стоимость выполненного объёма, а не цена за набор экранов или обычный информационный сайт.</w:t>
      </w:r>
    </w:p>
    <w:p>
      <w:r>
        <w:t>Главная сложность проекта состоит в том, что один и тот же материал проходит полный путь от совместной подготовки до безопасной установки на четырёх выставочных компьютерах. Ошибка на любом участке этого пути могла привести к потере правок, расхождению четырёх PDF или остановке показа. Поэтому в расчёт входят видимые элементы интерфейса и внутренние механизмы хранения, синхронизации, проверки и восстановления.</w:t>
      </w:r>
    </w:p>
    <w:p>
      <w:pPr>
        <w:pStyle w:val="Heading1"/>
      </w:pPr>
      <w:r>
        <w:t>Расчёт трудоёмкости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23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Блок работ</w:t>
            </w:r>
          </w:p>
        </w:tc>
        <w:tc>
          <w:tcPr>
            <w:tcW w:type="dxa" w:w="511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Результат</w:t>
            </w:r>
          </w:p>
        </w:tc>
        <w:tc>
          <w:tcPr>
            <w:tcW w:type="dxa" w:w="93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Часы</w:t>
            </w:r>
          </w:p>
        </w:tc>
        <w:tc>
          <w:tcPr>
            <w:tcW w:type="dxa" w:w="136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Анализ задачи и архитектура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Формализация процесса музея, модель данных, роли, схема веб-сервиса и доставки на выставку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18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27 000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Редактор и точный макет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Интерфейс четырёх документов по 28 страниц, текст, изображения, линии, шаблон и импорт Word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45 000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Совместная работа и общий шаблон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Одновременное редактирование, присутствие пользователей, синхронизация геометрии во всех документах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24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36 000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Серверная часть и публикация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Учётные записи, роли, история, хранение файлов, сборка PDF, неизменяемые релизы и контрольные суммы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30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45 000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Доставка на выставку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Передача через Яндекс Диск и NAS, current.json, проверка и атомарная установка четырёх PDF на ПК 1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16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24 000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Проверка и передача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Исправления по образцу, тестирование, сборка, развёртывание, пользовательские и технические инструкции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22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33 000 ₽</w:t>
            </w:r>
          </w:p>
        </w:tc>
      </w:tr>
      <w:tr>
        <w:tc>
          <w:tcPr>
            <w:tcW w:type="dxa" w:w="223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Итого</w:t>
            </w:r>
          </w:p>
        </w:tc>
        <w:tc>
          <w:tcPr>
            <w:tcW w:type="dxa" w:w="511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140 часов × 1 500 рублей</w:t>
            </w:r>
          </w:p>
        </w:tc>
        <w:tc>
          <w:tcPr>
            <w:tcW w:type="dxa" w:w="93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140</w:t>
            </w:r>
          </w:p>
        </w:tc>
        <w:tc>
          <w:tcPr>
            <w:tcW w:type="dxa" w:w="136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210 000 ₽</w:t>
            </w:r>
          </w:p>
        </w:tc>
      </w:tr>
    </w:tbl>
    <w:p>
      <w:pPr>
        <w:spacing w:after="0"/>
      </w:pPr>
    </w:p>
    <w:p>
      <w:r>
        <w:t>Разбивка показывает расчётную трудоёмкость по завершённому объёму. Она нужна для объяснения цены и не является обещанием почасовой оплаты сверх согласованной суммы.</w:t>
      </w:r>
    </w:p>
    <w:p>
      <w:pPr>
        <w:pStyle w:val="Heading1"/>
      </w:pPr>
      <w:r>
        <w:t>Что входит в результат</w:t>
      </w:r>
    </w:p>
    <w:p>
      <w:pPr>
        <w:pStyle w:val="ListBullet"/>
        <w:spacing w:after="60"/>
      </w:pPr>
      <w:r>
        <w:t>веб-интерфейс Postcards Studio по адресу mess-studio.ru с входом и ролями editor, publisher и admin</w:t>
      </w:r>
    </w:p>
    <w:p>
      <w:pPr>
        <w:pStyle w:val="ListBullet"/>
        <w:spacing w:after="60"/>
      </w:pPr>
      <w:r>
        <w:t>четыре совместно редактируемых документа по 28 страниц каждый</w:t>
      </w:r>
    </w:p>
    <w:p>
      <w:pPr>
        <w:pStyle w:val="ListBullet"/>
        <w:spacing w:after="60"/>
      </w:pPr>
      <w:r>
        <w:t>редактор текста изображений масок фигур и настраиваемых пунктирных линий</w:t>
      </w:r>
    </w:p>
    <w:p>
      <w:pPr>
        <w:pStyle w:val="ListBullet"/>
        <w:spacing w:after="60"/>
      </w:pPr>
      <w:r>
        <w:t>единый фиксируемый шаблон который переносит изменения вёрстки во все четыре документа без копирования их содержания</w:t>
      </w:r>
    </w:p>
    <w:p>
      <w:pPr>
        <w:pStyle w:val="ListBullet"/>
        <w:spacing w:after="60"/>
      </w:pPr>
      <w:r>
        <w:t>автоматическая красная строка и единое форматирование вставленного текста</w:t>
      </w:r>
    </w:p>
    <w:p>
      <w:pPr>
        <w:pStyle w:val="ListBullet"/>
        <w:spacing w:after="60"/>
      </w:pPr>
      <w:r>
        <w:t>импорт изображений из таблицы Word и сохранение исходного качества сканов</w:t>
      </w:r>
    </w:p>
    <w:p>
      <w:pPr>
        <w:pStyle w:val="ListBullet"/>
        <w:spacing w:after="60"/>
      </w:pPr>
      <w:r>
        <w:t>совместная работа нескольких сотрудников автоматическое сохранение и история контрольных версий</w:t>
      </w:r>
    </w:p>
    <w:p>
      <w:pPr>
        <w:pStyle w:val="ListBullet"/>
        <w:spacing w:after="60"/>
      </w:pPr>
      <w:r>
        <w:t>серверная сборка PDF предпросмотр скачивание и явная публикация только проверенного комплекта</w:t>
      </w:r>
    </w:p>
    <w:p>
      <w:pPr>
        <w:pStyle w:val="ListBullet"/>
        <w:spacing w:after="60"/>
      </w:pPr>
      <w:r>
        <w:t>неизменяемые релизы из четырёх PDF с манифестом и контрольными суммами SHA-256</w:t>
      </w:r>
    </w:p>
    <w:p>
      <w:pPr>
        <w:pStyle w:val="ListBullet"/>
        <w:spacing w:after="60"/>
      </w:pPr>
      <w:r>
        <w:t>доставка опубликованного комплекта через Яндекс Диск и NAS в десктопное приложение</w:t>
      </w:r>
    </w:p>
    <w:p>
      <w:pPr>
        <w:pStyle w:val="ListBullet"/>
        <w:spacing w:after="60"/>
      </w:pPr>
      <w:r>
        <w:t>проверка файлов резервное копирование и целостная замена всех четырёх документов на ПК 1</w:t>
      </w:r>
    </w:p>
    <w:p>
      <w:pPr>
        <w:pStyle w:val="ListBullet"/>
        <w:spacing w:after="60"/>
      </w:pPr>
      <w:r>
        <w:t>инструкции для музейных сотрудников операторов выставки и технической команды</w:t>
      </w:r>
    </w:p>
    <w:p>
      <w:pPr>
        <w:pStyle w:val="Heading1"/>
      </w:pPr>
      <w:r>
        <w:t>Почему более простой способ не решает задачу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Простой вариант</w:t>
            </w:r>
          </w:p>
        </w:tc>
        <w:tc>
          <w:tcPr>
            <w:tcW w:type="dxa" w:w="381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Проблема</w:t>
            </w:r>
          </w:p>
        </w:tc>
        <w:tc>
          <w:tcPr>
            <w:tcW w:type="dxa" w:w="3816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Что делает Postcards Studio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Один файл Illustrator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Правка макета требует специальной программы и повторения изменений на множестве страниц. Совместная работа приводит к копиям файла.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Общий шаблон меняется один раз и применяется ко всем четырём документам. Содержание каждого документа сохраняется отдельно.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Общая папка с PDF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PDF является итогом, а не удобным исходником. Папка не предотвращает одновременную замену отдельных файлов и не показывает, какой комплект утверждён.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Система хранит редактируемый исходник и публикует четыре PDF как один релиз.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Отправка файлов в чате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Нельзя гарантировать, что на выставку попадут четыре файла одной версии. Трудно восстановить последовательность изменений.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Манифест, current.json и контрольные суммы однозначно определяют актуальный комплект.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Ручная замена на каждом ПК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Часть компьютеров может остаться на старой версии, а ошибка обнаружится уже во время показа.</w:t>
            </w:r>
          </w:p>
        </w:tc>
        <w:tc>
          <w:tcPr>
            <w:tcW w:type="dxa" w:w="3816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ПК 1 проверяет и устанавливает комплект целиком, затем раздаёт состояние по локальной сети.</w:t>
            </w:r>
          </w:p>
        </w:tc>
      </w:tr>
    </w:tbl>
    <w:p>
      <w:pPr>
        <w:spacing w:after="0"/>
      </w:pPr>
    </w:p>
    <w:p>
      <w:pPr>
        <w:pStyle w:val="Heading1"/>
      </w:pPr>
      <w:r>
        <w:t>Зачем нужны сервер и домен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Элемент</w:t>
            </w:r>
          </w:p>
        </w:tc>
        <w:tc>
          <w:tcPr>
            <w:tcW w:type="dxa" w:w="3960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Назначение</w:t>
            </w:r>
          </w:p>
        </w:tc>
        <w:tc>
          <w:tcPr>
            <w:tcW w:type="dxa" w:w="3672"/>
            <w:shd w:fill="EEF1F4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Что произойдёт без него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Домен mess-studio.ru</w:t>
            </w:r>
          </w:p>
        </w:tc>
        <w:tc>
          <w:tcPr>
            <w:tcW w:type="dxa" w:w="396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Постоянный понятный адрес и защищённое соединение HTTPS</w:t>
            </w:r>
          </w:p>
        </w:tc>
        <w:tc>
          <w:tcPr>
            <w:tcW w:type="dxa" w:w="367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Сотрудникам пришлось бы использовать меняющийся технический адрес; безопасный вход и сертификат усложнились бы.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Сервер</w:t>
            </w:r>
          </w:p>
        </w:tc>
        <w:tc>
          <w:tcPr>
            <w:tcW w:type="dxa" w:w="396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Хранит общее состояние, принимает правки, координирует совместную работу и собирает публикации</w:t>
            </w:r>
          </w:p>
        </w:tc>
        <w:tc>
          <w:tcPr>
            <w:tcW w:type="dxa" w:w="367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Каждый компьютер имел бы отдельную копию, а одновременная работа и единая история были бы невозможны.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База данных</w:t>
            </w:r>
          </w:p>
        </w:tc>
        <w:tc>
          <w:tcPr>
            <w:tcW w:type="dxa" w:w="396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Хранит пользователей, роли, документы, версии и сведения о релизах</w:t>
            </w:r>
          </w:p>
        </w:tc>
        <w:tc>
          <w:tcPr>
            <w:tcW w:type="dxa" w:w="367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Нельзя было бы надёжно восстановить состояние или проверить права на публикацию.</w:t>
            </w:r>
          </w:p>
        </w:tc>
      </w:tr>
      <w:tr>
        <w:tc>
          <w:tcPr>
            <w:tcW w:type="dxa" w:w="2088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NAS и Яндекс Диск</w:t>
            </w:r>
          </w:p>
        </w:tc>
        <w:tc>
          <w:tcPr>
            <w:tcW w:type="dxa" w:w="3960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Архивируют релизы и доставляют их в локальную среду выставки</w:t>
            </w:r>
          </w:p>
        </w:tc>
        <w:tc>
          <w:tcPr>
            <w:tcW w:type="dxa" w:w="3672"/>
            <w:tcBorders>
              <w:top w:val="single" w:sz="5" w:color="D9DEE5"/>
              <w:left w:val="single" w:sz="5" w:color="D9DEE5"/>
              <w:bottom w:val="single" w:sz="5" w:color="D9DEE5"/>
              <w:right w:val="single" w:sz="5" w:color="D9DEE5"/>
              <w:insideH w:val="single" w:sz="5" w:color="D9DEE5"/>
              <w:insideV w:val="single" w:sz="5" w:color="D9DEE5"/>
            </w:tcBorders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spacing w:after="0"/>
            </w:pPr>
            <w:r>
              <w:t>Пришлось бы переносить файлы вручную и контролировать совпадение четырёх документов.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Границы суммы</w:t>
      </w:r>
    </w:p>
    <w:p>
      <w:pPr>
        <w:spacing w:after="140"/>
      </w:pPr>
      <w:r>
        <w:rPr>
          <w:rFonts w:ascii="Arial" w:hAnsi="Arial"/>
          <w:b/>
          <w:color w:val="171717"/>
          <w:sz w:val="22"/>
        </w:rPr>
        <w:t xml:space="preserve">В сумму 210 000 рублей входит </w:t>
      </w:r>
      <w:r>
        <w:rPr>
          <w:rFonts w:ascii="Arial" w:hAnsi="Arial"/>
          <w:color w:val="171717"/>
          <w:sz w:val="22"/>
        </w:rPr>
        <w:t>описанный выше объём разработки, настройки, исправлений, проверок и документации в текущей версии системы.</w:t>
      </w:r>
    </w:p>
    <w:p>
      <w:pPr>
        <w:spacing w:after="140"/>
      </w:pPr>
      <w:r>
        <w:rPr>
          <w:rFonts w:ascii="Arial" w:hAnsi="Arial"/>
          <w:b/>
          <w:color w:val="171717"/>
          <w:sz w:val="22"/>
        </w:rPr>
        <w:t xml:space="preserve">Отдельно оплачиваются </w:t>
      </w:r>
      <w:r>
        <w:rPr>
          <w:rFonts w:ascii="Arial" w:hAnsi="Arial"/>
          <w:color w:val="171717"/>
          <w:sz w:val="22"/>
        </w:rPr>
        <w:t>регулярные тарифы сторонних поставщиков за домен, сервер и при необходимости облачное хранилище. Эти платежи обеспечивают эксплуатацию системы, но не являются оплатой разработки. Новые функции, которых нет в согласованном объёме, оцениваются отдельно до начала работ.</w:t>
      </w:r>
    </w:p>
    <w:p>
      <w:r>
        <w:t>Если договором или отдельной сметой предусмотрены иные условия оплаты инфраструктуры, приоритет имеют условия договора.</w:t>
      </w:r>
    </w:p>
    <w:p>
      <w:pPr>
        <w:pStyle w:val="Heading1"/>
      </w:pPr>
      <w:r>
        <w:t>Формулировка для согласования</w:t>
      </w:r>
    </w:p>
    <w:p>
      <w:r>
        <w:t>Стоимость разработки Postcards Studio составляет 210 000 рублей. Расчёт основан на трудоёмкости 140 часов по ставке 1 500 рублей в час. В эту сумму входит не только интерфейс редактора, но и вся рабочая система: сервер, база данных, учётные записи и роли, совместное редактирование, общий шаблон для четырёх документов, история версий, сборка и публикация PDF, контроль целостности релизов, доставка через NAS и установка комплекта в десктопное приложение выставки. Решение заменяет повторение правок на 56 разворотах, то есть 112 страницах, и пересылку разрозненных файлов единым управляемым процессом. Регулярные тарифы на домен, сервер и сторонние хранилища относятся к эксплуатации и оплачиваются отдельно, если договором не установлено иное.</w:t>
      </w:r>
    </w:p>
    <w:p>
      <w:pPr>
        <w:jc w:val="right"/>
      </w:pPr>
      <w:r>
        <w:rPr>
          <w:rFonts w:ascii="Arial" w:hAnsi="Arial"/>
          <w:color w:val="5E6570"/>
          <w:sz w:val="17"/>
        </w:rPr>
        <w:t>Подготовлено 19 октября 2026 года</w:t>
      </w: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5E6570"/>
        <w:sz w:val="16"/>
      </w:rPr>
      <w:t xml:space="preserve">Postcards Studio  Обоснование стоимости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17171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Обоснование стоимости разработки Postcards Studio</dc:title>
  <dc:subject>Состав работ расчётная трудоёмкость и результат для музея</dc:subject>
  <dc:creator>MESS / Postcards</dc:creator>
  <cp:keywords>Postcards, инструкция, веб-сервис, выставка, NAS, PDF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