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Реестр научной литературы и первоисточников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Представленный программный комплекс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Work(s)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базируется на объединении методов прикладной биомеханики, антропометрии, физиологии труда и эргономической психофизики. В его основу положен отказ от анализа единственной позы рабочего в пользу стохастической оценки ансамбля допустимых поз с вычислением единого безразмерного показателя отношения нагрузки к несущей способности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DCR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Demand/Capacity 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Полный список литературы из документа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Ниже приведен полный систематизированный перечень всех 32 публикаций из библиографического списка руководства с указанием их роли в архитектуре программного комплекса: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Автор(ы), год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Название и выходные данные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Модуль / Назначение в системе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Brinckmann, P., Johannleweling, N., Hilweg, D., Biggemann, M. (1988)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Fatigue fracture of human lumbar vertebrae.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Clin. Biomech., S1, 94–96.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Модель кумулятивного усталостного разрушения позвонков поясничного отдела ($LCF_{CD}$).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Chaffin, D. B., Andres, R. O., Garg, A. (1983)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Volitional postures during maximal push/pull exertions in the sagittal plane.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Human Factors, 25(5): 541–550.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Оценка рабочей зоны вылета рук ($X$) при операциях толкания и тяги.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Chaffin, D. B., Andersson, G. B. J., Martin, B. J. (2006)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Occupational Biomechanics (4th ed.).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John Wiley &amp; Sons, Inc., Hoboken, NJ.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Базовые уравнения биомеханики, геометрия звеньев тела и расчет моментов сил.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Dempsey, P. (1998)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 critical review of biomechanical, epidemiological, physiological and psychophysical criteria for designing manual materials handling 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41, 73–88.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Эпидемиологическое и биомеханическое обоснование порогов травматизма при ПРР.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Dempsey, P. G., Ciriello, V. M., Maikala, R. V., O'Brien, N. V. (2008)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Oxygen consumption prediction models for individual and combination materials handling 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51, 1776–1789.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Оценка метаболических затрат и аэробного потребления кислорода при комплексных задачах.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Durkin, J. L., Dowling, J. J. (2003)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Analysis of body segment parameter differences between four human populations and the estimation errors of four popular mathematical models.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J. Biomech. Eng., 125, 515–522.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Масс-инерционные параметры сегментов тела (BSP) и оценка погрешностей моделей.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Dvoretzky, A., Kiefer, J., Wolfowitz, J. (1956)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Asymptotic minimax character of the sample distribution function and of the classical multinomial estimator.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Ann. Math. Stat., 27, 642–669.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Неравенство ДКВ (DKW) для определения репрезентативного размера выборки поз из генеральной совокупности.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Fromuth, R. C., Parkinson, M. B. (2008)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Predicting 5th and 95th percentile anthropometric segment lengths from population stature.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ASME IDETC/CIE.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Длины сегментов плеча и предплечья для 5-го, 50-го и 95-го перцентилей роста.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Fryar, C., Carroll, M., Gu, Q., Afful, J., Ogden, C. (2021)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Anthropometric Reference Data for Children and Adults — United States, 2015–2018.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Vital and Health Statistics, 3, 1–44.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База данных NHANES: распределение массы и роста рабочих (мужчины и женщины 20–69 лет).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Gallagher, S., Marras, W. S. (2012)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Tolerance of the lumbar spine to shear: A review and recommended exposure limits.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Clin. Biomech., 27, 973–978.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Предельно допустимые срезающие нагрузки на поясничный отдел позвоночника.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Gelb, D. E., Lenke, L. G., Bridwell, K. H., Blanke, K., McEnery, K. W. (1995)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An analysis of sagittal spinal alignment in 100 asymptomatic middle and older aged volunteers.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Spine, 20, 1351–1358.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Угол наклона площадки диска L5/S1 (принят равным $34^\circ$ к нормали ствола корпуса).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Gibson, M., Potvin, J. R. (2016)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An equation to calculate the recommended cumulative rest allowance across multiple subtasks.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ACE Conference, Niagara Falls, pp. 1–2.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Метод RCRA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Recommended Cumulative Recovery Allowance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для кумулятивного утомления.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Grenier, T. M. (1991)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Hand Anthropometry for US Army Personnel.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Tech. Report Natick/TR-92/011, US Army Natick RDEC.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Геометрия кистей рук, сегментные пропорции пальцев и ладони.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Harms-Ringdahl, K., Schüldt, K. (1988)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Maximum neck extension strength and relative neck muscular load in different cervical spine positions.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Clin. Biomech., 4, 17–24.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Изометрическая сила разгибателей шейного отдела в зависимости от положения шеи.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Jäger, M. (2023)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Dortmund Lumbar Load Atlas: A Contribution to Objectifying Lumbar Load and Load-Bearing Capacity...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Springer Nature.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База прочности поясничных сегментов на сжатие (предел прочности US, 1192 образца).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Jordan, A., Mehlsen, J., Bülow, P. M., Østergaard, K., Danneskiold-Samsøe, B. (1999)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Maximal isometric strength of the cervical musculature in 100 healthy volunteers.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Spine, 24, 1343.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Нормативные базы максимальной изометрической силы шейных мышц у мужчин и женщин.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 Delfa, N. J., Potvin, J. R. (2017)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‘Arm Force Field’ method to predict manual arm strength based on only hand location and force direction.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Appl. Ergon., 59, 410–421.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Метод AFF: нейросетевой предиктор статической силы рук в 3D пространстве.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Lavender, S. A., Andersson, G. B. J., Schipplein, O. D., Fuentes, H. J. (2003)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effects of initial lifting height, load magnitude, and lifting speed on the peak dynamic L5/S1 moments.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Int. J. Ind. Ergon., 31, 51–59.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Оценка кинематики и длительности подъема груза в зависимости от высоты старта.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Lee, K. S., Chaffin, D. B., Herrin, G. D., Waikar, A. M. (1991 / 2014)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Effect of handle height on lower-back loading in cart pushing and pulling.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Appl. Ergon., 22, 117–123.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Длительность и дистанция начальной (акселерационной) фазы толкания/тяги (0.85 м, 2.0 с).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 Leva, P. (1996)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Adjustments to Zatsiorsky-Seluyanov's segment inertia parameters.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J. Biomech., 29, 1223–1230.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Коррекция масс-инерционных параметров звеньев тела Зациорского — Селуянова.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Lin, C. J., Bernard, T. M., Ayoub, M. M. (1999)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 biomechanical evaluation of lifting speed using work- and moment-related measures.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42, 1051–1059.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Экспериментальные данные о скорости и продолжительности подъема/опускания.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NIOSH (1981)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Work Practices Guide for Manual Lifting.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DHHS (NIOSH), Cincinnati, OH.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Базовые критерии безопасности спины (предел сжатия 3400 Н) при подъеме грузов.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Potvin, J. R. (2012)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Predicting maximum acceptable efforts for repetitive tasks — An equation based on duty cycle.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Human Factors, 54, 175–188.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Уравнение MAE: падение допустимой силы мышц при циклической работе (Duty Cycle).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Potvin, J. R., Ciriello, V. M., Snook, S. H., Maynard, W. S., Brogmus, G. E. (2021)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Liberty Mutual manual materials handling (LM-MMH) equations.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1–17.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Психофизические уравнения LM-MMH (14 уравнений для подъема, спуска, толкания, тяги, переноски).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Potvin, J. R., Agnew, M. J. (2026)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 lumbar compression force cumulative damage (LCFCD) equation derived directly from the Brinckmann dataset.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AEC, Arlington, TX.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Аналитическая формула усталостной долговечности дисков/позвонков на основе модели Вейбулла.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Queisser, F., Blüthner, R., Seidel, H. (1994)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Control of positioning the cervical spine and its application to measuring extensor strength.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Clin. Biomech., 9, 157–161.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Механика шейного отдела, воспроизводимость измерения изометрической силы шеи.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Rempel, D., Potvin, J. (2022)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 design tool to estimate maximum acceptable manual arm forces for above-shoulder work.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1–27.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Коррекция силы рук при работе выше плеч: субмиакромиальный импинджмент-синдром.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Schimpl, M. et al. (2011)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Association between Walking Speed and Age in Healthy, Free-Living Individuals Using Mobile Accelerometry.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PLoS ONE, 6, e23299.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Скорость ходьбы человека при переноске грузов ($1.25\text{ м/с}$).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Seng, K.-Y., Peter, V.-S. L., Lam, P.-M. (2002)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Neck muscle strength across the sagittal and coronal planes: an isometric study.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Clin. Biomech., 17, 545–547.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Изометрическая сила мышц шеи в сагиттальной и фронтальной плоскостях.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Snook, S. H. (1978)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design of manual handling 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21, 963–985.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Фундаментальные психофизические таблицы допустимых масс грузов Liberty Mutual.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Snook, S. H., Ciriello, V. M. (1991)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design of manual handling tasks: revised tables of maximum acceptable weights and forces.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34, 1197–1213.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Пересмотренные и дополненные таблицы Снука — Чириелло для MMH.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Tilley, A. R. (1993)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Measure of Man and Woman — Human Factors in Design.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Henry Dreyfuss Associates.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Классический справочник по антропометрии, суставным углам и рабочим зонам человека.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Vasavada, A. N., Li, S., Delp, S. L. (2001)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Three-dimensional isometric strength of neck muscles in humans.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Spine, 26, 1904–1909.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3D-моделирование и экспериментальные моменты шейного отдела позвоночника.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Waters, T. R., Putz-Anderson, V., Garg, A., Fine, L. J. (1993)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Revised NIOSH equation for the design and evaluation of manual lifting 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36, 749–776.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Стандартное уравнение подъема NIOSH (RNLE) и его биомеханический базис.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Yoganandan, N., Ray, G., Pintar, F. A., Myklebust, J. B., Sances, A. (1989)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Stiffness and strain energy criteria to evaluate the threshold of injury to an intervertebral joint.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J. Biomech., 22, 135–142.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Порог пластической деформации (предел текучести) диска при 82% от предела разрушения.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Buchholz, B., Armstrong, T. J., Goldstein, S. A. (1992)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Anthropometric data for describing the kinematics of the human hand.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35, 261–273.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Кинематика и антропометрия звеньев кисти и пальцев руки.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Использованные базы данных и эмпирические датасеты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Программа опирается на крупные эмпирические и кадаверные массивы данных: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NHANES (National Health and Nutrition Examination Survey, США, 2015–2018)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Выборка мужчин и женщин в возрасте 20–69 лет.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Определение 5-го, 50-го и 95-го перцентилей массы тела (женщины: 50.4, 73.5, 120.7 кг; мужчины: 63.0, 88.1, 132.0 кг) и роста (женщины: 1.506, 1.619, 1.727 м; мужчины: 1.634, 1.758, 1.874 м).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Дортмундский атлас поясничных нагрузок (Dortmund Lumbar Load Atlas — Jäger, 2023)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Мета-анализ 1 192 препаратов поясничного отдела позвоночника из 36 исследований (1954–2013 гг.).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Выделена стратифицированная выборка из 199 кадаверных образцов (76 женских, 123 мужских, возраст 17–75 лет) для вычисления пределов прочности на сжатие ($US$) в возрасте 42 лет (средний возраст промышленных рабочих в США и Канаде по данным StatCan и US BLS). Пороговая прочность 75% населения ($US_{75\%}$): 4 360 Н для женщин, 5 210 Н для мужчин.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Кадаверный датасет усталостного разрушения Бринкманна (Brinckmann et al., 1988)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Испытания 70 поясничных позвоночно-двигательных сегментов (от 35 доноров) на циклическое сжатие до 5 000 циклов при различных относительных нагрузках $LCF / US$.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Очищенный массив из 47 образцов использован Потвином и Эгнью (2026) для построения кривой усталости Вейбулла.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Психофизический массив Liberty Mutual (Snook &amp; Ciriello 1978–2011)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19 научных публикаций (включая 12 исследований Винсента Чириелло после 1991 года), охватывающих 388 уникальных экспериментальных условий и 1 788 лабораторных сессий.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База для 14 уравнений LM-MMH (Potvin et al., 2021).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Экспериментальный массив Arm Force Field (AFF — La Delfa &amp; Potvin, 2017)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13 460 лабораторных измерений максимального изометрического усилия женской руки в 536 уникальных пространственных условиях (36 положений кисти относительно плеча, до 26 направлений вектора силы).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Датасет HandPak (18 исследований кисти и пальцев)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Объединенная база для 23 типов силовых, щипковых и нажимных интерфейсов (Power Grip, Chuck Pinch, Lateral Pinch, Pulp Pinch, нажимы пальцами, цилиндрические захваты) с учетом диаметра/раскрытия, коэффициента трения материалов (резина, пластик) и перчаток.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Компиляция 72 исследований суставных углов (Range of Motion, ROM)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Диапазоны подвижности для голеностопного, коленного, тазобедренного, поясничного, шейного, плечевого (включая протракцию лопатки), локтевого и лучезапястного суставов.</w:t>
      </w:r>
    </w:p>
    <w:p w:rsidR="00000000" w:rsidDel="00000000" w:rsidP="00000000" w:rsidRDefault="00000000" w:rsidRPr="00000000" w14:paraId="000000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Математический и алгоритмический разбор модулей Work(s)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       [Входные параметры задачи]</w:t>
        <w:br w:type="textWrapping"/>
        <w:t xml:space="preserve">           (Антропометрия, Целевая сила, Точки контакта, Препятствия)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      [1. Генератор поз InteliPose™]</w:t>
        <w:br w:type="textWrapping"/>
        <w:t xml:space="preserve">     (Вариации высоты таза, углов коленей, расстановки стоп, положений туловища)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   [2. Пространственные фильтры ограничений]</w:t>
        <w:br w:type="textWrapping"/>
        <w:t xml:space="preserve">       ├─ Коллизии звеньев с препятствиями (Boundary Box / Surface Markers)</w:t>
        <w:br w:type="textWrapping"/>
        <w:t xml:space="preserve">       ├─ Анатомические пределы подвижности (ROM 72 исследований)</w:t>
        <w:br w:type="textWrapping"/>
        <w:t xml:space="preserve">       └─ Статическое равновесие (Центр давления COP внутри базы стоп)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 [3. Множество кинематически допустимых поз]</w:t>
        <w:br w:type="textWrapping"/>
        <w:t xml:space="preserve">                           (от 3 000 до 85 000+ поз)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[4. Статистическая редукция выборки (Неравенство ДКВ / DKW)]</w:t>
        <w:br w:type="textWrapping"/>
        <w:t xml:space="preserve">  (Формирование репрезентативной подвыборки для сокращения вычислительного времени)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     [5. Параллельный расчет биомеханики поз]</w:t>
        <w:br w:type="textWrapping"/>
        <w:t xml:space="preserve">     ┌──────────────────┬──────────────────┬──────────────────┐</w:t>
        <w:br w:type="textWrapping"/>
        <w:t xml:space="preserve">     ▼                  ▼                  ▼                  ▼</w:t>
        <w:br w:type="textWrapping"/>
        <w:t xml:space="preserve">[Руки и плечи]     [Кисть/пальцы]       [Позвоночник L5/S1]    [Психофизика MMH]</w:t>
        <w:br w:type="textWrapping"/>
        <w:t xml:space="preserve"> • Сеть AFF         • HandPak (23 хвата) • Полином плеча рычага • 14 уравнений LM</w:t>
        <w:br w:type="textWrapping"/>
        <w:t xml:space="preserve"> • Уравнение MAE    • Уравнение MAE      • Реакции + Мышцы      • Lift/Lower/Push/</w:t>
        <w:br w:type="textWrapping"/>
        <w:t xml:space="preserve"> • Rempel-Potvin    • Поправки трения    • Jäger 2023 / Усталость Pull/Carry</w:t>
        <w:br w:type="textWrapping"/>
        <w:t xml:space="preserve">                                           Вейбулла (Brinckmann)</w:t>
        <w:br w:type="textWrapping"/>
        <w:t xml:space="preserve">     └──────────────────┴──────────────────┴──────────────────┘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[6. Преобразование в единые DCR (Demand/Capacity)]</w:t>
        <w:br w:type="textWrapping"/>
        <w:t xml:space="preserve">      (7 локальных DCR: L/R кисти, L/R плечи, шея, сжатие L5/S1, LM-MMH)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[7. Расчет интегрального риска позы: Overall DCR = max(DCR_i)]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[8. Сортировка по перцентилям &amp; Проектирование совокупного риска]</w:t>
        <w:br w:type="textWrapping"/>
        <w:t xml:space="preserve">        (Отсечка по 25-му перцентилю; суммирование кумулятивной усталости)</w:t>
        <w:br w:type="textWrapping"/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Генерация поз и кинематический фильтр (InteliPose™)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Вместо ручного позиционирования манекена алгоритм решает задачу обратной кинематики (IK) путем сканирования конфигурационного пространства: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Варьируется высота таза, угол сгибания коленей, передне-заднее смещение стоп и наклон туловища.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каждой конфигурации таза вычисляются возможные положения плеч, локтей, лучезапястных суставов и шеи (в направлении точки взора: руки, горизонт или внешняя 3D-точка).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Фильтрация недопустимых поз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Коллизии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проверка пересечения сегментных маркеров тела с параллелепипедами препятствий Barrier #1 и #2.</w:t>
      </w:r>
    </w:p>
    <w:p w:rsidR="00000000" w:rsidDel="00000000" w:rsidP="00000000" w:rsidRDefault="00000000" w:rsidRPr="00000000" w14:paraId="000000D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Суставные пределы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отсеивание конфигураций, превышающих ROM хотя бы по одной из 3 осей любого сустава.</w:t>
      </w:r>
    </w:p>
    <w:p w:rsidR="00000000" w:rsidDel="00000000" w:rsidP="00000000" w:rsidRDefault="00000000" w:rsidRPr="00000000" w14:paraId="000000D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Равновесие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проекция центра масс всей системы (с учетом удерживаемого груза) определяет положение центра давления ($COP$). Если $COP$ выходит за границы опорного контура (длина стопы от лодыжки вперед принимается равной 0.20 м для женщин и 0.25 м для мужчин), поза отбраковывается (если не активирована опора телом 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Body Bracing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Статистическая редукция выборки (Неравенство ДКВ)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Если найдено $N &gt; 10^4$ допустимых поз, полный расчет для каждой из них создает вычислительную перегрузку. Применяется теорема Дворецкого — Кифера — Вольфовица (DKW):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$$P\left(\sup_{x} \vert{}F_n(x) - F(x)\vert{} &gt; \varepsilon\right) \le 2e^{-2n\varepsilon^2}$$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Она задает минимальный размер случайной подвыборки $n$, гарантирующий, что эмпирическая функция распределения DCR отличается от истинной не более чем на заданную погрешность $\varepsilon$ с доверительной вероятностью $1 - \alpha$. Если расчетное значение $DCR_{Overall}$ попадает в критическую зону неопределенности $[0.95; 1.05]$, размер выборки увеличивается в 100 раз.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Моделирование силы мышц и усталости (MAE Equation)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Длительность и частота приложения сил учитываются через коэффициент заполнения цикла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Duty Cycle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$DC$):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$$DC = \frac{\text{Effective Duration} \times \text{Frequency}}{\text{Total Shift Work Time}}$$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 эффективная длительность ($t_{eff}$) рассчитывается через механический импульс: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$$t_{eff} = \frac{\int_0^T F(t)\,dt}{F_{peak}}$$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Максимально допустимое мышечное усилие (в долях от разового максимума, $MVC$) рассчитывается по уравнению Потвина (2012):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$$MAE = 1 - (DC - 0.01)^{0.24}$$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Данная зависимость снижает несущую способность мышцы в зависимости от накопления метаболического утомления.</w:t>
      </w:r>
    </w:p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Биомеханика поясничного отдела (L5/S1)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Реактивные силы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векторной суммой массы звеньев тела выше L5/S1 и внешних усилий на кистях вычисляются результирующие силы и моменты в точке L5/S1. Площадка межпозвонкового диска наклонена вперед на $34^\circ$ к поперечной оси позвоночника.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Мышечное сжатие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для учета коактивации мышц спины используется полиномиальная регрессия 3-го порядка для нахождения эквивалентного плеча рычага ($EMA$, $r^2 = 0.87$, $RMSE = 4\text{ мм}$) от моментов сгибания/разгибания, бокового наклона и осевого скручивания: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$$F_{muscle\_comp} = \frac{\sqrt{M_{flex/ext}^2 + M_{lat}^2 + M_{twist}^2}}{EMA(M_{flex/ext}, M_{lat}, M_{twist})}$$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Общая компрессия диска: $LCF_{total} = F_{reaction\_comp} + F_{muscle\_comp}$ ($r^2 = 0.95$, $RMSE = 342\text{ Н}$).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Предел текучести (Yield Point)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предел прочности $US_{75\%}$ масштабируется коэффициентом 0.82 (начало микроразрушений костных балок по Йоганандану, 1989), формируя порог $TLV_{peak}$ (3 575 Н для женщин, 4 270 Н для мужчин).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Кумулятивное разрушение ($LCF_{CD}$)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по данным Бринкманна строится модель двухпараметрического распределения Вейбулла с цензурированием справа (на 5 000 циклов):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$$CtF = f\left(\frac{LCF}{US}\right)$$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$$LCF_{CD} = \frac{\text{Частота циклов в смену}}{CtF}$$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Значение $LCF_{CD} &gt; 1.0$ считается недопустимым.</w:t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 Психофизический критерий Liberty Mutual (LM-MMH)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задач подъема, опускания, перемещения грузов применяются эмпирические нелинейные регрессионные уравнения: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$$MAL = f(\text{Stature}, \text{Start Height}, \text{End Height}, \text{Distance}, \text{Frequency})$$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Включают 14 отдельных уравнений (по 7 для каждого пола), аппроксимирующих способность 75% популяции выполнять работу без чрезмерного психофизического напряжения.</w:t>
      </w:r>
    </w:p>
    <w:p w:rsidR="00000000" w:rsidDel="00000000" w:rsidP="00000000" w:rsidRDefault="00000000" w:rsidRPr="00000000" w14:paraId="000000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Необходимые дисциплины и области знаний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разработки отечественного или открытого аналога (и его превосходящей версии) требуется синтез 6 ключевых научно-инженерных областей: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ДИСЦИПЛИНЫ ДЛЯ РАЗРАБОТКИ СИСТЕМЫ ЭРГОНОМИКИ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     │</w:t>
        <w:br w:type="textWrapping"/>
        <w:t xml:space="preserve">         ├─► 1. Теоретическая и вычислительная биомеханика</w:t>
        <w:br w:type="textWrapping"/>
        <w:t xml:space="preserve">         │     • Прямая и обратная динамика многозвенных систем (Newton-Euler)</w:t>
        <w:br w:type="textWrapping"/>
        <w:t xml:space="preserve">         │     • Мышечно-скелетное моделирование (Хилловские модели мышц)</w:t>
        <w:br w:type="textWrapping"/>
        <w:t xml:space="preserve">         │     • Механика контактного взаимодействия и усталостная прочность</w:t>
        <w:br w:type="textWrapping"/>
        <w:t xml:space="preserve">         │</w:t>
        <w:br w:type="textWrapping"/>
        <w:t xml:space="preserve">         ├─► 2. Промышленная эргономика и антропометрия</w:t>
        <w:br w:type="textWrapping"/>
        <w:t xml:space="preserve">         │     • Статистическая антропометрия (ГОСТ / ISO 7250, CAESAR, NHANES)</w:t>
        <w:br w:type="textWrapping"/>
        <w:t xml:space="preserve">         │     • Психофизика ручного труда (методологии Snook-Ciriello, NIOSH)</w:t>
        <w:br w:type="textWrapping"/>
        <w:t xml:space="preserve">         │     • Международные нормативы (ISO 11228-1/2/3, ISO 11226, EAWS, RULA)</w:t>
        <w:br w:type="textWrapping"/>
        <w:t xml:space="preserve">         │</w:t>
        <w:br w:type="textWrapping"/>
        <w:t xml:space="preserve">         ├─► 3. Физиология труда и эргономическая биохимия</w:t>
        <w:br w:type="textWrapping"/>
        <w:t xml:space="preserve">         │     • Мышечное утомление, лактатный порог, уравнение MAE</w:t>
        <w:br w:type="textWrapping"/>
        <w:t xml:space="preserve">         │     • Энергетический обмен и потребление кислорода ($VO_2$)</w:t>
        <w:br w:type="textWrapping"/>
        <w:t xml:space="preserve">         │</w:t>
        <w:br w:type="textWrapping"/>
        <w:t xml:space="preserve">         ├─► 4. Робототехника и геометрическое моделирование</w:t>
        <w:br w:type="textWrapping"/>
        <w:t xml:space="preserve">         │     • Дифференцируемая инверсная кинематика (Differentiable IK)</w:t>
        <w:br w:type="textWrapping"/>
        <w:t xml:space="preserve">         │     • Пространственное планирование движений (OMPL, RRT*, TrajOpt)</w:t>
        <w:br w:type="textWrapping"/>
        <w:t xml:space="preserve">         │     • Обнаружение коллизий на CAD-сетках (SDF, BVH, GJK/EPA)</w:t>
        <w:br w:type="textWrapping"/>
        <w:t xml:space="preserve">         │</w:t>
        <w:br w:type="textWrapping"/>
        <w:t xml:space="preserve">         ├─► 5. Прикладная математика и оптимизация</w:t>
        <w:br w:type="textWrapping"/>
        <w:t xml:space="preserve">         │     • Нелинейное квадратичное программирование (SQP)</w:t>
        <w:br w:type="textWrapping"/>
        <w:t xml:space="preserve">         │     • Статистический анализ экстремальных значений и надежности (Вейбулл)</w:t>
        <w:br w:type="textWrapping"/>
        <w:t xml:space="preserve">         │</w:t>
        <w:br w:type="textWrapping"/>
        <w:t xml:space="preserve">         └─► 6. Машинное обучение и суррогатное моделирование</w:t>
        <w:br w:type="textWrapping"/>
        <w:t xml:space="preserve">               • PINN (Physics-Informed Neural Networks) для суррогатных сил</w:t>
        <w:br w:type="textWrapping"/>
        <w:t xml:space="preserve">               • Регрессионные поля сил (AFF) и глубокое обучение с подкреплением</w:t>
        <w:br w:type="textWrapping"/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Слабые места Work(s) и архитектура превосходящего решения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Work(s) делает шаг вперед по сравнению с устаревшими статическими пакетами (Jack, Process Simulate, классический 3DSSPP), анализируя ансамбль поз. Однако в нем заложен ряд допущений, преодоление которых позволит создать систему принципиально более высокого класса:</w:t>
      </w:r>
    </w:p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ограничений Work(s)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Квазистатический характер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 основе лежит статика. Реальные перемещения груза сопровождаются ускорениями ($m \cdot a$ и $I \cdot \varepsilon$), что приводит к динамическим всплескам момента на L5/S1 на 30–60% выше статических. В Work(s) динамика лишь косвенно грубо оценивается по эмпирическому времени.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Примитивная геометрия коллизий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Препятствия задаются 1–2 прямоугольными ящиками. В среде Visual Components сцена содержит произвольные CAD-модели технологической оснастки (конвейеры, роботы, стеллажи сложной формы).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Метод генерации поз «в лоб» (Grid Search + Sampling)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Перебор дискретных комбинаций суставных углов с последующей фильтрацией через отсев вычислительно избыточен и может пропускать оптимальные биомеханические траектории.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Свертка по 25-му перцентилю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Выбор 25-го перцентиля — эвристический компромисс авторов. Он маскирует реальный моторный стереотип конкретного человека.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Упрощенная односуставная модель позвоночника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Все нагрузки сводятся к диску L5/S1 с постоянным наклоном $34^\circ$. Не учитываются сдвиги и компрессии в сегментах L4/L5, Th12/L1, а также деформации связочного аппарата и фасеточных суставов.</w:t>
      </w:r>
    </w:p>
    <w:p w:rsidR="00000000" w:rsidDel="00000000" w:rsidP="00000000" w:rsidRDefault="00000000" w:rsidRPr="00000000" w14:paraId="000001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Архитектура превосходящего комплекса («Next-Gen Ergonomics Engine»)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интеграции с Visual Components и роботизированными симуляциями целесообразно построить решение на следующих модулях: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АРХИТЕКТУРА NEXT-GEN ЭРГОНОМИЧЕСКОГО ДВИЖКА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                                 │</w:t>
        <w:br w:type="textWrapping"/>
        <w:t xml:space="preserve">    ┌────────────────────────────────┼────────────────────────────────┐</w:t>
        <w:br w:type="textWrapping"/>
        <w:t xml:space="preserve">    ▼                                ▼                                ▼</w:t>
        <w:br w:type="textWrapping"/>
        <w:t xml:space="preserve">[1. Полнодинамический        [2. Двойная сетка коллизий      [3. Оптимизационный</w:t>
        <w:br w:type="textWrapping"/>
        <w:t xml:space="preserve">   движок (Forward/Inverse       (Mesh-to-Mesh SDF)]             кинематический решатель]</w:t>
        <w:br w:type="textWrapping"/>
        <w:t xml:space="preserve">   Dynamics)]                • Прямой импорт CAD             • Дифференцируемая IK</w:t>
        <w:br w:type="textWrapping"/>
        <w:t xml:space="preserve">• Уравнения Ньютона — Эйлера   из Visual Components            на основе кватернионов</w:t>
        <w:br w:type="textWrapping"/>
        <w:t xml:space="preserve">• Непрерывный расчет по      • Быстрые расстояния через      • Задача квадратичного</w:t>
        <w:br w:type="textWrapping"/>
        <w:t xml:space="preserve">  траекториям сплайнов         Signed Distance Fields          программирования (QP)</w:t>
        <w:br w:type="textWrapping"/>
        <w:t xml:space="preserve">• Учет инерции звеньев и       (SDF) и иерархии BVH          • Минимизация суставного</w:t>
        <w:br w:type="textWrapping"/>
        <w:t xml:space="preserve">  груза во времени ($F=ma$)                                    утомления в динамике</w:t>
        <w:br w:type="textWrapping"/>
        <w:t xml:space="preserve">    │                                │                                │</w:t>
        <w:br w:type="textWrapping"/>
        <w:t xml:space="preserve">    └────────────────────────────────┼────────────────────────────────┘</w:t>
        <w:br w:type="textWrapping"/>
        <w:t xml:space="preserve">                                     │</w:t>
        <w:br w:type="textWrapping"/>
        <w:t xml:space="preserve">                                     ▼</w:t>
        <w:br w:type="textWrapping"/>
        <w:t xml:space="preserve">        [4. Многосегментная биомеханическая модель позвоночника и мышц]</w:t>
        <w:br w:type="textWrapping"/>
        <w:t xml:space="preserve">        • Полный остеопатический скелет: шея (C1–C7), грудной (Th1–Th12),</w:t>
        <w:br w:type="textWrapping"/>
        <w:t xml:space="preserve">          поясничный (L1–L5/S1).</w:t>
        <w:br w:type="textWrapping"/>
        <w:t xml:space="preserve">        • Расчет сил методом статической/динамической оптимизации усилий мышц</w:t>
        <w:br w:type="textWrapping"/>
        <w:t xml:space="preserve">          (распределение нагрузки между 40+ мышцами торса).</w:t>
        <w:br w:type="textWrapping"/>
        <w:t xml:space="preserve">        • Суррогатная модель на основе нейросети (Bio-PINN / ML-суррогат)</w:t>
        <w:br w:type="textWrapping"/>
        <w:t xml:space="preserve">          для мгновенного расчета (микросекунды на кадр вместо секунд).</w:t>
        <w:br w:type="textWrapping"/>
        <w:t xml:space="preserve">                                     │</w:t>
        <w:br w:type="textWrapping"/>
        <w:t xml:space="preserve">                                     ▼</w:t>
        <w:br w:type="textWrapping"/>
        <w:t xml:space="preserve">        [5. Интегрированный мульти-стандартный блок оценки риска]</w:t>
        <w:br w:type="textWrapping"/>
        <w:t xml:space="preserve">        • Непрерывный расчет EAWS (European Assessment Worksheet).</w:t>
        <w:br w:type="textWrapping"/>
        <w:t xml:space="preserve">        • Динамический 3D-индекс подъема (Multi-task Dynamic NIOSH).</w:t>
        <w:br w:type="textWrapping"/>
        <w:t xml:space="preserve">        • Накопленное утомление по Хиллу/Потвину вдоль всей непрерывной траектории.</w:t>
        <w:br w:type="textWrapping"/>
        <w:t xml:space="preserve">        • Визуализация зон предельного риска на 3D-тепловой карте манекена.</w:t>
        <w:br w:type="textWrapping"/>
      </w:r>
    </w:p>
    <w:p w:rsidR="00000000" w:rsidDel="00000000" w:rsidP="00000000" w:rsidRDefault="00000000" w:rsidRPr="00000000" w14:paraId="000001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Практическая дорожная карта реализации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перехода от теоретических материалов к рабочему программному модулю рекомендуется разбить разработку на 4 фазы:</w:t>
      </w:r>
    </w:p>
    <w:p w:rsidR="00000000" w:rsidDel="00000000" w:rsidP="00000000" w:rsidRDefault="00000000" w:rsidRPr="00000000" w14:paraId="000001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Фаза 1. Математический базис и антропометрическая модель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Входные данные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реализация генератора полигонального скелета (15–20 звеньев) с параметризацией по базам антропометрии (NHANES, ISO 7250, ГОСТ Р 56644).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Масс-инерционные характеристики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имплементация уравнений де Лева (1996) и Дуркина-Даулинга (2003) для расчета положения центров масс ($CoM$) и тензоров инерции звеньев ($I_{xx}, I_{yy}, I_{zz}$).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Пределы подвижности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программная матрица допустимых углов Эйлера / кватернионных конусов подвижности для суставов на основе 72 анатомических исследований.</w:t>
      </w:r>
    </w:p>
    <w:p w:rsidR="00000000" w:rsidDel="00000000" w:rsidP="00000000" w:rsidRDefault="00000000" w:rsidRPr="00000000" w14:paraId="000001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Фаза 2. Прямая/обратная кинематика и физика коллизий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Интеграция с физическим ядром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использование открытых библиотек робототехники (например,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Pinocchio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или кастомного модуля на C++/Python) для решения задач обратной кинематики (IK) с ограничениями (Constrained Optimization).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Коллизии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внедрение алгоритмов GJK/EPA или Signed Distance Fields (SDF) для точной детекции самопересечений звеньев и столкновений с произвольными CAD-объектами сцены.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Статическая и динамическая устойчивость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расчет вектора ZMP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Zero Moment 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 динамического центра давления ($COP$) относительно полигона опорного контура стоп.</w:t>
      </w:r>
    </w:p>
    <w:p w:rsidR="00000000" w:rsidDel="00000000" w:rsidP="00000000" w:rsidRDefault="00000000" w:rsidRPr="00000000" w14:paraId="000001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Фаза 3. Биомеханический процессор и расчет рисков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Позвоночник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реализация полиномиальной модели Потвина для L5/S1 как базового уровня, с последующим расширением до полной конечно-элементной или многомышечной модели туловища.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Кумулятивная усталость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интеграция уравнения MAE (Potvin, 2012) и усталостной долговечности по Вейбуллу (Potvin &amp; Agnew, 2026).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Психофизика MMH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алгоритмизация 14 уравнений LM-MMH (Potvin et al., 2021) для автоматической валидации операций перемещения грузов.</w:t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Фаза 4. Интеграция с платформой симуляции (Visual Components)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API-коннектор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создание плагина на Python (Visual Components API), считывающего положение рабочих зон, захватов и траекторий человека-оператора в симуляции.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Анализ в динамике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пока рабочий идет, берет деталь с конвейера и устанавливает в станок, расчетный движок производит покадровый расчет DCR и накапливает дозу усталости вдоль всей траектории движения.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Интерфейс обратной связи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вывод 3D-графа нагрузок, цветовая маркировка перегруженных суставов на теле манекена и автоматическая генерация отчета с рекомендациями по перенастройке высоты столов и положений технологических тар.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