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F12179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МИНОБРНАУКИ РОССИИ</w:t>
      </w:r>
    </w:p>
    <w:p w14:paraId="2F9F78C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Санкт-Петербургский государственный</w:t>
      </w:r>
    </w:p>
    <w:p w14:paraId="7A624C1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электротехнический университет</w:t>
      </w:r>
    </w:p>
    <w:p w14:paraId="5687065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«ЛЭТИ» им. В.И. Ульянова (Ленина)</w:t>
      </w:r>
    </w:p>
    <w:p w14:paraId="624A959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b/>
          <w:sz w:val="28"/>
          <w:szCs w:val="28"/>
        </w:rPr>
      </w:pPr>
      <w:r>
        <w:rPr>
          <w:b/>
          <w:sz w:val="28"/>
          <w:szCs w:val="28"/>
        </w:rPr>
        <w:t>Кафедра МОЭВМ</w:t>
      </w:r>
    </w:p>
    <w:p w14:paraId="5B8A2CA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b/>
          <w:caps/>
          <w:sz w:val="28"/>
          <w:szCs w:val="28"/>
        </w:rPr>
      </w:pPr>
    </w:p>
    <w:p w14:paraId="40CA8A4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sz w:val="28"/>
          <w:szCs w:val="28"/>
        </w:rPr>
      </w:pPr>
    </w:p>
    <w:p w14:paraId="3527540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sz w:val="28"/>
          <w:szCs w:val="28"/>
        </w:rPr>
      </w:pPr>
    </w:p>
    <w:p w14:paraId="40CF7E0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sz w:val="28"/>
          <w:szCs w:val="28"/>
        </w:rPr>
      </w:pPr>
    </w:p>
    <w:p w14:paraId="7322216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sz w:val="28"/>
          <w:szCs w:val="28"/>
        </w:rPr>
      </w:pPr>
    </w:p>
    <w:p w14:paraId="7F67CD2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sz w:val="28"/>
          <w:szCs w:val="28"/>
        </w:rPr>
      </w:pPr>
    </w:p>
    <w:p w14:paraId="4C36F4B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sz w:val="28"/>
          <w:szCs w:val="28"/>
        </w:rPr>
      </w:pPr>
    </w:p>
    <w:p w14:paraId="107F3783">
      <w:pPr>
        <w:pStyle w:val="19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0"/>
        <w:jc w:val="center"/>
        <w:textAlignment w:val="auto"/>
        <w:rPr>
          <w:rStyle w:val="20"/>
          <w:caps/>
          <w:smallCaps w:val="0"/>
          <w:szCs w:val="28"/>
        </w:rPr>
      </w:pPr>
      <w:r>
        <w:rPr>
          <w:rStyle w:val="20"/>
          <w:caps/>
          <w:smallCaps w:val="0"/>
          <w:szCs w:val="28"/>
        </w:rPr>
        <w:t>отчет</w:t>
      </w:r>
    </w:p>
    <w:p w14:paraId="7D71916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360" w:lineRule="auto"/>
        <w:ind w:firstLine="2199" w:firstLineChars="0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lang w:val="ru-RU"/>
        </w:rPr>
        <w:t xml:space="preserve">по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>и</w:t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lang w:val="ru-RU"/>
        </w:rPr>
        <w:t>сследовательск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>ому</w:t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lang w:val="ru-RU"/>
        </w:rPr>
        <w:t xml:space="preserve"> проекту</w:t>
      </w:r>
    </w:p>
    <w:p w14:paraId="7DF32BE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b/>
          <w:sz w:val="28"/>
          <w:szCs w:val="28"/>
        </w:rPr>
      </w:pPr>
      <w:r>
        <w:rPr>
          <w:b/>
          <w:sz w:val="28"/>
          <w:szCs w:val="28"/>
        </w:rPr>
        <w:t>по дисциплине «Обучение с подкреплением»</w:t>
      </w:r>
    </w:p>
    <w:p w14:paraId="4DA0CE4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</w:pPr>
      <w:r>
        <w:rPr>
          <w:rStyle w:val="20"/>
          <w:smallCaps w:val="0"/>
          <w:sz w:val="28"/>
          <w:szCs w:val="28"/>
        </w:rPr>
        <w:t xml:space="preserve">Тема: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Сравнительный анализ алгоритма</w:t>
      </w:r>
    </w:p>
    <w:p w14:paraId="2CA9F8E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Broad Critic Deep Actor (BCDA) с алгоритмом PPO</w:t>
      </w:r>
    </w:p>
    <w:p w14:paraId="578F354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в среде Pendulum-v1</w:t>
      </w:r>
    </w:p>
    <w:p w14:paraId="254C5EA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sz w:val="28"/>
          <w:szCs w:val="28"/>
        </w:rPr>
      </w:pPr>
    </w:p>
    <w:p w14:paraId="2B4407B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sz w:val="28"/>
          <w:szCs w:val="28"/>
        </w:rPr>
      </w:pPr>
    </w:p>
    <w:tbl>
      <w:tblPr>
        <w:tblStyle w:val="21"/>
        <w:tblW w:w="9747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936"/>
        <w:gridCol w:w="2609"/>
        <w:gridCol w:w="3202"/>
      </w:tblGrid>
      <w:tr w14:paraId="77372F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614" w:hRule="atLeast"/>
          <w:jc w:val="center"/>
        </w:trPr>
        <w:tc>
          <w:tcPr>
            <w:tcW w:w="3936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773C42E7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360" w:lineRule="auto"/>
              <w:ind w:firstLine="709"/>
              <w:jc w:val="left"/>
              <w:rPr>
                <w:rFonts w:hint="default" w:ascii="Times New Roman" w:hAnsi="Times New Roman" w:eastAsia="Times New Roman" w:cs="Times New Roman"/>
                <w:color w:val="000000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>Студент гр. 130</w:t>
            </w:r>
            <w:r>
              <w:rPr>
                <w:rFonts w:hint="default" w:ascii="Times New Roman" w:hAnsi="Times New Roman" w:eastAsia="Times New Roman" w:cs="Times New Roman"/>
                <w:color w:val="000000"/>
                <w:sz w:val="28"/>
                <w:szCs w:val="28"/>
                <w:lang w:val="ru-RU"/>
              </w:rPr>
              <w:t>4</w:t>
            </w:r>
          </w:p>
        </w:tc>
        <w:tc>
          <w:tcPr>
            <w:tcW w:w="2609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6F2CD345">
            <w:pPr>
              <w:spacing w:line="360" w:lineRule="auto"/>
              <w:jc w:val="left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>_________________</w:t>
            </w:r>
          </w:p>
        </w:tc>
        <w:tc>
          <w:tcPr>
            <w:tcW w:w="3202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390C40B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360" w:lineRule="auto"/>
              <w:ind w:firstLine="709"/>
              <w:jc w:val="left"/>
              <w:rPr>
                <w:rFonts w:ascii="Times New Roman" w:hAnsi="Times New Roman" w:eastAsia="Times New Roman" w:cs="Times New Roman"/>
                <w:color w:val="FF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>Татанов</w:t>
            </w:r>
            <w:r>
              <w:rPr>
                <w:rFonts w:hint="default"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 С.М.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</w:p>
        </w:tc>
      </w:tr>
      <w:tr w14:paraId="78A04B9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614" w:hRule="atLeast"/>
          <w:jc w:val="center"/>
        </w:trPr>
        <w:tc>
          <w:tcPr>
            <w:tcW w:w="3936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4A85CD8C">
            <w:pPr>
              <w:spacing w:line="360" w:lineRule="auto"/>
              <w:ind w:firstLine="709"/>
              <w:jc w:val="left"/>
              <w:rPr>
                <w:rFonts w:hint="default" w:ascii="Times New Roman" w:hAnsi="Times New Roman" w:eastAsia="Times New Roman" w:cs="Times New Roman"/>
                <w:color w:val="000000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>Студент гр. 130</w:t>
            </w:r>
            <w:r>
              <w:rPr>
                <w:rFonts w:hint="default" w:ascii="Times New Roman" w:hAnsi="Times New Roman" w:eastAsia="Times New Roman" w:cs="Times New Roman"/>
                <w:sz w:val="28"/>
                <w:szCs w:val="28"/>
                <w:lang w:val="ru-RU"/>
              </w:rPr>
              <w:t>4</w:t>
            </w:r>
          </w:p>
        </w:tc>
        <w:tc>
          <w:tcPr>
            <w:tcW w:w="2609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379BA337">
            <w:pPr>
              <w:spacing w:line="360" w:lineRule="auto"/>
              <w:jc w:val="left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>_________________</w:t>
            </w:r>
          </w:p>
        </w:tc>
        <w:tc>
          <w:tcPr>
            <w:tcW w:w="3202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07B3A089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360" w:lineRule="auto"/>
              <w:ind w:firstLine="709"/>
              <w:jc w:val="left"/>
              <w:rPr>
                <w:rFonts w:hint="default" w:ascii="Times New Roman" w:hAnsi="Times New Roman" w:eastAsia="Times New Roman" w:cs="Times New Roman"/>
                <w:color w:val="000000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>Вотяков</w:t>
            </w:r>
            <w:r>
              <w:rPr>
                <w:rFonts w:hint="default"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 Ф.А.</w:t>
            </w:r>
          </w:p>
        </w:tc>
      </w:tr>
      <w:tr w14:paraId="42D4EC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614" w:hRule="atLeast"/>
          <w:jc w:val="center"/>
        </w:trPr>
        <w:tc>
          <w:tcPr>
            <w:tcW w:w="3936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33CBC04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360" w:lineRule="auto"/>
              <w:ind w:firstLine="709"/>
              <w:jc w:val="left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609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25864F92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360" w:lineRule="auto"/>
              <w:jc w:val="left"/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>_________________</w:t>
            </w:r>
          </w:p>
        </w:tc>
        <w:tc>
          <w:tcPr>
            <w:tcW w:w="3202" w:type="dxa"/>
            <w:tcBorders>
              <w:top w:val="single" w:color="FFFFFF" w:sz="4" w:space="0"/>
              <w:left w:val="single" w:color="FFFFFF" w:sz="4" w:space="0"/>
              <w:bottom w:val="single" w:color="FFFFFF" w:sz="4" w:space="0"/>
              <w:right w:val="single" w:color="FFFFFF" w:sz="4" w:space="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53AE69D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line="360" w:lineRule="auto"/>
              <w:ind w:right="-132" w:firstLine="709"/>
              <w:jc w:val="left"/>
              <w:rPr>
                <w:rFonts w:ascii="Times New Roman" w:hAnsi="Times New Roman" w:eastAsia="Times New Roman" w:cs="Times New Roman"/>
                <w:color w:val="FF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>Глазунов С.А.</w:t>
            </w:r>
          </w:p>
        </w:tc>
      </w:tr>
    </w:tbl>
    <w:p w14:paraId="3EB9FDD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bCs/>
          <w:sz w:val="28"/>
          <w:szCs w:val="28"/>
        </w:rPr>
      </w:pPr>
    </w:p>
    <w:p w14:paraId="35458C9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bCs/>
          <w:sz w:val="28"/>
          <w:szCs w:val="28"/>
        </w:rPr>
      </w:pPr>
    </w:p>
    <w:p w14:paraId="5437C8E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bCs/>
          <w:sz w:val="28"/>
          <w:szCs w:val="28"/>
        </w:rPr>
      </w:pPr>
    </w:p>
    <w:p w14:paraId="2BBBEB7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bCs/>
          <w:sz w:val="28"/>
          <w:szCs w:val="28"/>
        </w:rPr>
      </w:pPr>
      <w:r>
        <w:rPr>
          <w:bCs/>
          <w:sz w:val="28"/>
          <w:szCs w:val="28"/>
        </w:rPr>
        <w:t>Санкт-Петербург</w:t>
      </w:r>
    </w:p>
    <w:p w14:paraId="634456F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b/>
          <w:caps/>
          <w:sz w:val="28"/>
          <w:szCs w:val="28"/>
          <w:highlight w:val="yellow"/>
        </w:rPr>
      </w:pPr>
      <w:r>
        <w:rPr>
          <w:bCs/>
          <w:sz w:val="28"/>
          <w:szCs w:val="28"/>
        </w:rPr>
        <w:t>2026</w:t>
      </w:r>
    </w:p>
    <w:p w14:paraId="0449934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20"/>
        <w:textAlignment w:val="auto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Цель работы</w:t>
      </w:r>
    </w:p>
    <w:p w14:paraId="508B2C8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36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val="ru-RU" w:eastAsia="ru-RU" w:bidi="ar-SA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 w:eastAsia="ru-RU" w:bidi="ar-SA"/>
        </w:rPr>
        <w:t>Целью работы является сравнительный анализ современного гибридного алгоритма обучения с подкреплением Broad Critic Deep Actor (BCDA), предложенного в статье S. Thalagala, P. K. Wong, X. Wang «Broad Critic Deep Actor Reinforcement Learning for Continuous Control» (arXiv:2411.15806, 2024), с классическим алгоритмом Proximal Policy Optimization (PPO), изученным в рамках практической работы №2. Сравнение проводится на эталонной среде непрерывного управления Pendulum-v1.</w:t>
      </w:r>
    </w:p>
    <w:p w14:paraId="351DE38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36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val="ru-RU" w:eastAsia="ru-RU" w:bidi="ar-SA"/>
        </w:rPr>
      </w:pPr>
    </w:p>
    <w:p w14:paraId="0A36F40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20"/>
        <w:textAlignment w:val="auto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Задание</w:t>
      </w:r>
    </w:p>
    <w:p w14:paraId="63E4D59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20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В ходе выполнения работы необходимо:</w:t>
      </w:r>
    </w:p>
    <w:p w14:paraId="3BCEC2B9">
      <w:pPr>
        <w:pStyle w:val="16"/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изучить идею гибридной архитектуры BCDA, в которой критик реализован как широкая обучающая система (Broad Learning System, BLS), а актор — как глубокая нейронная сеть (DNN);</w:t>
      </w:r>
    </w:p>
    <w:p w14:paraId="7ACCB275">
      <w:pPr>
        <w:pStyle w:val="16"/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реализовать алгоритм BCDA для среды непрерывного управления Pendulum-v1;</w:t>
      </w:r>
    </w:p>
    <w:p w14:paraId="3A28B034">
      <w:pPr>
        <w:pStyle w:val="16"/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использовать в качестве базового алгоритма для сравнения реализацию PPO из практической работы №2;</w:t>
      </w:r>
    </w:p>
    <w:p w14:paraId="18C05B1E">
      <w:pPr>
        <w:pStyle w:val="16"/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провести обучение обоих алгоритмов в идентичных условиях (одинаковая среда, число эпизодов, набор случайных начальных значений — сидов);</w:t>
      </w:r>
    </w:p>
    <w:p w14:paraId="106D5E39">
      <w:pPr>
        <w:pStyle w:val="16"/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сравнить алгоритмы по скорости обучения, итоговому качеству политики и устойчивости результата к выбору сида.</w:t>
      </w:r>
    </w:p>
    <w:p w14:paraId="1A8DF76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20"/>
        <w:textAlignment w:val="auto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Сравниваемые алгоритмы</w:t>
      </w:r>
    </w:p>
    <w:p w14:paraId="580C773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20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Принципиальное различие между алгоритмами заключается в способе построения и обучения критика — функции оценки ценности. В классическом PPO критик является глубокой нейронной сетью и обучается методом обратного распространения ошибки (градиентный спуск); алгоритм работает в режиме on-policy и использует стохастическую гауссову политику. В алгоритме BCDA критик реализуется как широкая обучающая система (BLS): входные проекции признаков задаются случайно и остаются фиксированными, а выходные веса вычисляются аналитически методом гребневой (ridge) регрессии. Это устраняет необходимость в итеративном градиентном обучении критика и, согласно статье, снижает требования к объёму данных и вычислительным затратам. Актор в BCDA — детерминированная DNN, обучаемая через детерминированный градиент политики (по аналогии с DDPG/TD3), а сам алгоритм работает off-policy с буфером воспроизведения.</w:t>
      </w:r>
    </w:p>
    <w:p w14:paraId="397EE87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20"/>
        <w:jc w:val="both"/>
        <w:textAlignment w:val="auto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Алгоритм BCDA (статья).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Критик-BLS получает на вход вектор «состояние + действие». Первый слой формирует узлы признаков Z = tanh(x·W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vertAlign w:val="subscript"/>
        </w:rPr>
        <w:t>z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+ b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vertAlign w:val="subscript"/>
        </w:rPr>
        <w:t>z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), второй — узлы расширения H = tanh(Z·W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vertAlign w:val="subscript"/>
        </w:rPr>
        <w:t>h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+ b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vertAlign w:val="subscript"/>
        </w:rPr>
        <w:t>h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). Матрицы W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vertAlign w:val="subscript"/>
        </w:rPr>
        <w:t>z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, W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vertAlign w:val="subscript"/>
        </w:rPr>
        <w:t>h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инициализируются случайно и не обучаются. Признаковое описание φ = [Z, H] линейно отображается в оценку ценности Q = φ·W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vertAlign w:val="subscript"/>
        </w:rPr>
        <w:t>out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. Выходные веса находятся аналитически: W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vertAlign w:val="subscript"/>
        </w:rPr>
        <w:t>out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= (AᵀA + λI)⁻¹Aᵀy, где A — матрица признаков мини-батча, y — целевые значения ценности (TD-цель), λ — коэффициент регуляризации. Для обновления актора используется аналитический градиент ∂Q/∂a, вычисляемый дифференцированием BLS по действию.</w:t>
      </w:r>
    </w:p>
    <w:p w14:paraId="52C7DF8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20"/>
        <w:jc w:val="both"/>
        <w:textAlignment w:val="auto"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8"/>
          <w:szCs w:val="28"/>
        </w:rPr>
        <w:t>Алгоритм PPO (практическая работа №2).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 Политика параметризуется сетью PolicyNet (MLP с активацией Tanh) и задаёт гауссово распределение действий Normal(μ, σ) с обучаемым логарифмом стандартного отклонения. Критик ValueNet оценивает ценность состояния. После сбора траектории фиксированной длины вычисляются преимущества методом GAE, после чего политика обновляется через clipped surrogate objective с ограничением шага коэффициентом clip. Критик минимизирует MSE между предсказанной ценностью и целевой доходностью. Применяются нормализация преимуществ и градиентный клиппинг.</w:t>
      </w:r>
    </w:p>
    <w:p w14:paraId="5177EEE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20"/>
        <w:textAlignment w:val="auto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Методика эксперимента</w:t>
      </w:r>
    </w:p>
    <w:p w14:paraId="1A38327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20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Обучение проводилось в среде Pendulum-v1 библиотеки Gymnasium. Среда описывает маятник, который необходимо привести в верхнее вертикальное положение и удержать там; пространство наблюдений трёхмерно (cos θ, sin θ, угловая скорость), управляющее воздействие — непрерывный момент силы. Награда на каждом шаге отрицательна и штрафует отклонение от вертикали, угловую скорость и величину момента, поэтому суммарная награда за эпизод всегда отрицательна, а её рост (приближение к нулю) соответствует улучшению политики.</w:t>
      </w:r>
    </w:p>
    <w:p w14:paraId="4172A8A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20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Для корректности сравнения оба алгоритма обучались в идентичных условиях: по 250 эпизодов на каждый запуск, с тремя случайными начальными значениями (сидами) [7, 17, 42]. На графиках приводится усреднённая по сидам кривая с полосой ±σ. Пунктирная линия на уровне −200 служит ориентиром «хорошо обученной» политики для данной среды.</w:t>
      </w:r>
    </w:p>
    <w:p w14:paraId="1C07B40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20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Ключевые гиперпараметры BCDA: число узлов признаков nz = 60, число узлов расширения nh = 120, коэффициент регуляризации λ = 10⁻⁴, скорость обучения актора 10⁻³, γ = 0.99, мягкое обновление целевых сетей τ = 0.005, размер мини-батча 128, ёмкость буфера 100 000, стандартное отклонение шума исследования 0.2, отложенное обновление критика (раз в 4 шага) и актора (раз в 2 шага). Гиперпараметры PPO: γ = 0.99, λ_GAE = 0.95, lr_policy = 3×10⁻⁴, lr_value = 10⁻³, длина траектории 2048 шагов, 10 эпох обновления, размер мини-батча 64, clip = 0.2, градиентный клиппинг 0.5.</w:t>
      </w:r>
    </w:p>
    <w:p w14:paraId="1DF955D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20"/>
        <w:textAlignment w:val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</w:p>
    <w:p w14:paraId="698781C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20"/>
        <w:textAlignment w:val="auto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Реализация критика BLS</w:t>
      </w:r>
    </w:p>
    <w:p w14:paraId="1E0941A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20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Ниже приведён ключевой фрагмент реализации — класс широкой обучающей системы (BLS), выступающей критиком в алгоритме BCDA. В отличие от нейросетевого критика PPO, его выходные веса не обучаются градиентным спуском, а пересчитываются аналитически на каждом обновлении:</w:t>
      </w:r>
    </w:p>
    <w:p w14:paraId="3D795BF1">
      <w:pPr>
        <w:keepNext w:val="0"/>
        <w:keepLines w:val="0"/>
        <w:pageBreakBefore w:val="0"/>
        <w:widowControl/>
        <w:shd w:val="clear" w:fill="F4F4F4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</w:pPr>
      <w:r>
        <w:rPr>
          <w:rFonts w:ascii="Courier New" w:hAnsi="Courier New" w:eastAsia="Courier New" w:cs="Courier New"/>
          <w:sz w:val="18"/>
          <w:szCs w:val="18"/>
        </w:rPr>
        <w:t>class BLS:</w:t>
      </w:r>
    </w:p>
    <w:p w14:paraId="49687A44">
      <w:pPr>
        <w:keepNext w:val="0"/>
        <w:keepLines w:val="0"/>
        <w:pageBreakBefore w:val="0"/>
        <w:widowControl/>
        <w:shd w:val="clear" w:fill="F4F4F4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</w:pPr>
      <w:r>
        <w:rPr>
          <w:rFonts w:ascii="Courier New" w:hAnsi="Courier New" w:eastAsia="Courier New" w:cs="Courier New"/>
          <w:sz w:val="18"/>
          <w:szCs w:val="18"/>
        </w:rPr>
        <w:t xml:space="preserve">    def __init__(self, sd, ad, nz=60, nh=120, lam=1e-4):</w:t>
      </w:r>
    </w:p>
    <w:p w14:paraId="2BF9ABFB">
      <w:pPr>
        <w:keepNext w:val="0"/>
        <w:keepLines w:val="0"/>
        <w:pageBreakBefore w:val="0"/>
        <w:widowControl/>
        <w:shd w:val="clear" w:fill="F4F4F4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</w:pPr>
      <w:r>
        <w:rPr>
          <w:rFonts w:ascii="Courier New" w:hAnsi="Courier New" w:eastAsia="Courier New" w:cs="Courier New"/>
          <w:sz w:val="18"/>
          <w:szCs w:val="18"/>
        </w:rPr>
        <w:t xml:space="preserve">        idim = sd + ad</w:t>
      </w:r>
    </w:p>
    <w:p w14:paraId="2308CEA1">
      <w:pPr>
        <w:keepNext w:val="0"/>
        <w:keepLines w:val="0"/>
        <w:pageBreakBefore w:val="0"/>
        <w:widowControl/>
        <w:shd w:val="clear" w:fill="F4F4F4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</w:pPr>
      <w:r>
        <w:rPr>
          <w:rFonts w:ascii="Courier New" w:hAnsi="Courier New" w:eastAsia="Courier New" w:cs="Courier New"/>
          <w:sz w:val="18"/>
          <w:szCs w:val="18"/>
        </w:rPr>
        <w:t xml:space="preserve">        self.Wz = rng.standard_normal((idim, nz)) * .1   # фикс.</w:t>
      </w:r>
    </w:p>
    <w:p w14:paraId="57EA34A9">
      <w:pPr>
        <w:keepNext w:val="0"/>
        <w:keepLines w:val="0"/>
        <w:pageBreakBefore w:val="0"/>
        <w:widowControl/>
        <w:shd w:val="clear" w:fill="F4F4F4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</w:pPr>
      <w:r>
        <w:rPr>
          <w:rFonts w:ascii="Courier New" w:hAnsi="Courier New" w:eastAsia="Courier New" w:cs="Courier New"/>
          <w:sz w:val="18"/>
          <w:szCs w:val="18"/>
        </w:rPr>
        <w:t xml:space="preserve">        self.Wh = rng.standard_normal((nz,   nh)) * .1   # фикс.</w:t>
      </w:r>
    </w:p>
    <w:p w14:paraId="18FD9F00">
      <w:pPr>
        <w:keepNext w:val="0"/>
        <w:keepLines w:val="0"/>
        <w:pageBreakBefore w:val="0"/>
        <w:widowControl/>
        <w:shd w:val="clear" w:fill="F4F4F4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</w:pPr>
      <w:r>
        <w:rPr>
          <w:rFonts w:ascii="Courier New" w:hAnsi="Courier New" w:eastAsia="Courier New" w:cs="Courier New"/>
          <w:sz w:val="18"/>
          <w:szCs w:val="18"/>
        </w:rPr>
        <w:t xml:space="preserve">        self.W_out = np.zeros((nz + nh, 1))              # обучаемые</w:t>
      </w:r>
    </w:p>
    <w:p w14:paraId="3D494D34">
      <w:pPr>
        <w:keepNext w:val="0"/>
        <w:keepLines w:val="0"/>
        <w:pageBreakBefore w:val="0"/>
        <w:widowControl/>
        <w:shd w:val="clear" w:fill="F4F4F4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</w:p>
    <w:p w14:paraId="713C9700">
      <w:pPr>
        <w:keepNext w:val="0"/>
        <w:keepLines w:val="0"/>
        <w:pageBreakBefore w:val="0"/>
        <w:widowControl/>
        <w:shd w:val="clear" w:fill="F4F4F4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</w:pPr>
      <w:r>
        <w:rPr>
          <w:rFonts w:ascii="Courier New" w:hAnsi="Courier New" w:eastAsia="Courier New" w:cs="Courier New"/>
          <w:sz w:val="18"/>
          <w:szCs w:val="18"/>
        </w:rPr>
        <w:t xml:space="preserve">    def _phi(self, s, a):                # признаки [Z, H]</w:t>
      </w:r>
    </w:p>
    <w:p w14:paraId="531C5B82">
      <w:pPr>
        <w:keepNext w:val="0"/>
        <w:keepLines w:val="0"/>
        <w:pageBreakBefore w:val="0"/>
        <w:widowControl/>
        <w:shd w:val="clear" w:fill="F4F4F4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</w:pPr>
      <w:r>
        <w:rPr>
          <w:rFonts w:ascii="Courier New" w:hAnsi="Courier New" w:eastAsia="Courier New" w:cs="Courier New"/>
          <w:sz w:val="18"/>
          <w:szCs w:val="18"/>
        </w:rPr>
        <w:t xml:space="preserve">        x = np.concatenate([s, a], 1)</w:t>
      </w:r>
    </w:p>
    <w:p w14:paraId="18B0F2DE">
      <w:pPr>
        <w:keepNext w:val="0"/>
        <w:keepLines w:val="0"/>
        <w:pageBreakBefore w:val="0"/>
        <w:widowControl/>
        <w:shd w:val="clear" w:fill="F4F4F4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</w:pPr>
      <w:r>
        <w:rPr>
          <w:rFonts w:ascii="Courier New" w:hAnsi="Courier New" w:eastAsia="Courier New" w:cs="Courier New"/>
          <w:sz w:val="18"/>
          <w:szCs w:val="18"/>
        </w:rPr>
        <w:t xml:space="preserve">        Z = np.tanh(x @ self.Wz + self.bz)</w:t>
      </w:r>
    </w:p>
    <w:p w14:paraId="02065994">
      <w:pPr>
        <w:keepNext w:val="0"/>
        <w:keepLines w:val="0"/>
        <w:pageBreakBefore w:val="0"/>
        <w:widowControl/>
        <w:shd w:val="clear" w:fill="F4F4F4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</w:pPr>
      <w:r>
        <w:rPr>
          <w:rFonts w:ascii="Courier New" w:hAnsi="Courier New" w:eastAsia="Courier New" w:cs="Courier New"/>
          <w:sz w:val="18"/>
          <w:szCs w:val="18"/>
        </w:rPr>
        <w:t xml:space="preserve">        H = np.tanh(Z @ self.Wh + self.bh)</w:t>
      </w:r>
    </w:p>
    <w:p w14:paraId="726042DB">
      <w:pPr>
        <w:keepNext w:val="0"/>
        <w:keepLines w:val="0"/>
        <w:pageBreakBefore w:val="0"/>
        <w:widowControl/>
        <w:shd w:val="clear" w:fill="F4F4F4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</w:pPr>
      <w:r>
        <w:rPr>
          <w:rFonts w:ascii="Courier New" w:hAnsi="Courier New" w:eastAsia="Courier New" w:cs="Courier New"/>
          <w:sz w:val="18"/>
          <w:szCs w:val="18"/>
        </w:rPr>
        <w:t xml:space="preserve">        return np.concatenate([Z, H], 1)</w:t>
      </w:r>
    </w:p>
    <w:p w14:paraId="5F81F605">
      <w:pPr>
        <w:keepNext w:val="0"/>
        <w:keepLines w:val="0"/>
        <w:pageBreakBefore w:val="0"/>
        <w:widowControl/>
        <w:shd w:val="clear" w:fill="F4F4F4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</w:p>
    <w:p w14:paraId="39209958">
      <w:pPr>
        <w:keepNext w:val="0"/>
        <w:keepLines w:val="0"/>
        <w:pageBreakBefore w:val="0"/>
        <w:widowControl/>
        <w:shd w:val="clear" w:fill="F4F4F4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</w:pPr>
      <w:r>
        <w:rPr>
          <w:rFonts w:ascii="Courier New" w:hAnsi="Courier New" w:eastAsia="Courier New" w:cs="Courier New"/>
          <w:sz w:val="18"/>
          <w:szCs w:val="18"/>
        </w:rPr>
        <w:t xml:space="preserve">    def update(self, s, a, y):           # гребневая регрессия</w:t>
      </w:r>
    </w:p>
    <w:p w14:paraId="594208B1">
      <w:pPr>
        <w:keepNext w:val="0"/>
        <w:keepLines w:val="0"/>
        <w:pageBreakBefore w:val="0"/>
        <w:widowControl/>
        <w:shd w:val="clear" w:fill="F4F4F4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</w:pPr>
      <w:r>
        <w:rPr>
          <w:rFonts w:ascii="Courier New" w:hAnsi="Courier New" w:eastAsia="Courier New" w:cs="Courier New"/>
          <w:sz w:val="18"/>
          <w:szCs w:val="18"/>
        </w:rPr>
        <w:t xml:space="preserve">        A = self._phi(s, a); I = np.eye(self.nz + self.nh)</w:t>
      </w:r>
    </w:p>
    <w:p w14:paraId="6A2E6A6F">
      <w:pPr>
        <w:keepNext w:val="0"/>
        <w:keepLines w:val="0"/>
        <w:pageBreakBefore w:val="0"/>
        <w:widowControl/>
        <w:shd w:val="clear" w:fill="F4F4F4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</w:pPr>
      <w:r>
        <w:rPr>
          <w:rFonts w:ascii="Courier New" w:hAnsi="Courier New" w:eastAsia="Courier New" w:cs="Courier New"/>
          <w:sz w:val="18"/>
          <w:szCs w:val="18"/>
        </w:rPr>
        <w:t xml:space="preserve">        self.W_out = np.linalg.solve(A.T @ A + self.lam * I, A.T @ y)</w:t>
      </w:r>
    </w:p>
    <w:p w14:paraId="06D69C6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20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Обновление критика в основном цикле обучения сводится к одному вызову аналитического решения, тогда как актор обучается обычным детерминированным градиентом политики с использованием ∂Q/∂a от BLS:</w:t>
      </w:r>
    </w:p>
    <w:p w14:paraId="637EE803">
      <w:pPr>
        <w:keepNext w:val="0"/>
        <w:keepLines w:val="0"/>
        <w:pageBreakBefore w:val="0"/>
        <w:widowControl/>
        <w:shd w:val="clear" w:fill="F4F4F4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</w:pPr>
      <w:r>
        <w:rPr>
          <w:rFonts w:ascii="Courier New" w:hAnsi="Courier New" w:eastAsia="Courier New" w:cs="Courier New"/>
          <w:sz w:val="18"/>
          <w:szCs w:val="18"/>
        </w:rPr>
        <w:t>if step % critic_freq == 0:                  # обновление BLS-критика</w:t>
      </w:r>
    </w:p>
    <w:p w14:paraId="1BB255BB">
      <w:pPr>
        <w:keepNext w:val="0"/>
        <w:keepLines w:val="0"/>
        <w:pageBreakBefore w:val="0"/>
        <w:widowControl/>
        <w:shd w:val="clear" w:fill="F4F4F4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</w:pPr>
      <w:r>
        <w:rPr>
          <w:rFonts w:ascii="Courier New" w:hAnsi="Courier New" w:eastAsia="Courier New" w:cs="Courier New"/>
          <w:sz w:val="18"/>
          <w:szCs w:val="18"/>
        </w:rPr>
        <w:t xml:space="preserve">    na = ta(next_states)                     # действия целевого актора</w:t>
      </w:r>
    </w:p>
    <w:p w14:paraId="1021AA5A">
      <w:pPr>
        <w:keepNext w:val="0"/>
        <w:keepLines w:val="0"/>
        <w:pageBreakBefore w:val="0"/>
        <w:widowControl/>
        <w:shd w:val="clear" w:fill="F4F4F4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</w:pPr>
      <w:r>
        <w:rPr>
          <w:rFonts w:ascii="Courier New" w:hAnsi="Courier New" w:eastAsia="Courier New" w:cs="Courier New"/>
          <w:sz w:val="18"/>
          <w:szCs w:val="18"/>
        </w:rPr>
        <w:t xml:space="preserve">    tq = tc.predict(next_states, na) * (1 - done)</w:t>
      </w:r>
    </w:p>
    <w:p w14:paraId="648E3D82">
      <w:pPr>
        <w:keepNext w:val="0"/>
        <w:keepLines w:val="0"/>
        <w:pageBreakBefore w:val="0"/>
        <w:widowControl/>
        <w:shd w:val="clear" w:fill="F4F4F4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</w:pPr>
      <w:r>
        <w:rPr>
          <w:rFonts w:ascii="Courier New" w:hAnsi="Courier New" w:eastAsia="Courier New" w:cs="Courier New"/>
          <w:sz w:val="18"/>
          <w:szCs w:val="18"/>
        </w:rPr>
        <w:t xml:space="preserve">    critic.update(states, actions, reward + gamma * tq)</w:t>
      </w:r>
    </w:p>
    <w:p w14:paraId="01CE945E">
      <w:pPr>
        <w:keepNext w:val="0"/>
        <w:keepLines w:val="0"/>
        <w:pageBreakBefore w:val="0"/>
        <w:widowControl/>
        <w:shd w:val="clear" w:fill="F4F4F4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</w:pPr>
      <w:r>
        <w:rPr>
          <w:rFonts w:ascii="Courier New" w:hAnsi="Courier New" w:eastAsia="Courier New" w:cs="Courier New"/>
          <w:sz w:val="18"/>
          <w:szCs w:val="18"/>
        </w:rPr>
        <w:t xml:space="preserve">    tc.W_out = tau * critic.W_out + (1 - tau) * tc.W_out</w:t>
      </w:r>
    </w:p>
    <w:p w14:paraId="222DE0A2">
      <w:pPr>
        <w:keepNext w:val="0"/>
        <w:keepLines w:val="0"/>
        <w:pageBreakBefore w:val="0"/>
        <w:widowControl/>
        <w:shd w:val="clear" w:fill="F4F4F4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</w:pPr>
      <w:r>
        <w:rPr>
          <w:rFonts w:ascii="Courier New" w:hAnsi="Courier New" w:eastAsia="Courier New" w:cs="Courier New"/>
          <w:sz w:val="18"/>
          <w:szCs w:val="18"/>
        </w:rPr>
        <w:t xml:space="preserve"> </w:t>
      </w:r>
    </w:p>
    <w:p w14:paraId="4EE66833">
      <w:pPr>
        <w:keepNext w:val="0"/>
        <w:keepLines w:val="0"/>
        <w:pageBreakBefore w:val="0"/>
        <w:widowControl/>
        <w:shd w:val="clear" w:fill="F4F4F4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</w:pPr>
      <w:r>
        <w:rPr>
          <w:rFonts w:ascii="Courier New" w:hAnsi="Courier New" w:eastAsia="Courier New" w:cs="Courier New"/>
          <w:sz w:val="18"/>
          <w:szCs w:val="18"/>
        </w:rPr>
        <w:t>if step % actor_freq == 0:                   # обновление DNN-актора</w:t>
      </w:r>
    </w:p>
    <w:p w14:paraId="10AF2850">
      <w:pPr>
        <w:keepNext w:val="0"/>
        <w:keepLines w:val="0"/>
        <w:pageBreakBefore w:val="0"/>
        <w:widowControl/>
        <w:shd w:val="clear" w:fill="F4F4F4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</w:pPr>
      <w:r>
        <w:rPr>
          <w:rFonts w:ascii="Courier New" w:hAnsi="Courier New" w:eastAsia="Courier New" w:cs="Courier New"/>
          <w:sz w:val="18"/>
          <w:szCs w:val="18"/>
        </w:rPr>
        <w:t xml:space="preserve">    pred = actor(states)</w:t>
      </w:r>
    </w:p>
    <w:p w14:paraId="16E86E2D">
      <w:pPr>
        <w:keepNext w:val="0"/>
        <w:keepLines w:val="0"/>
        <w:pageBreakBefore w:val="0"/>
        <w:widowControl/>
        <w:shd w:val="clear" w:fill="F4F4F4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</w:pPr>
      <w:r>
        <w:rPr>
          <w:rFonts w:ascii="Courier New" w:hAnsi="Courier New" w:eastAsia="Courier New" w:cs="Courier New"/>
          <w:sz w:val="18"/>
          <w:szCs w:val="18"/>
        </w:rPr>
        <w:t xml:space="preserve">    dq   = critic.grad_a(states, pred)        # аналитический dQ/da</w:t>
      </w:r>
    </w:p>
    <w:p w14:paraId="3F3C8A1B">
      <w:pPr>
        <w:keepNext w:val="0"/>
        <w:keepLines w:val="0"/>
        <w:pageBreakBefore w:val="0"/>
        <w:widowControl/>
        <w:shd w:val="clear" w:fill="F4F4F4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</w:pPr>
      <w:r>
        <w:rPr>
          <w:rFonts w:ascii="Courier New" w:hAnsi="Courier New" w:eastAsia="Courier New" w:cs="Courier New"/>
          <w:sz w:val="18"/>
          <w:szCs w:val="18"/>
        </w:rPr>
        <w:t xml:space="preserve">    loss = -(pred * dq).mean()</w:t>
      </w:r>
    </w:p>
    <w:p w14:paraId="36BE0565">
      <w:pPr>
        <w:keepNext w:val="0"/>
        <w:keepLines w:val="0"/>
        <w:pageBreakBefore w:val="0"/>
        <w:widowControl/>
        <w:shd w:val="clear" w:fill="F4F4F4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</w:pPr>
      <w:r>
        <w:rPr>
          <w:rFonts w:ascii="Courier New" w:hAnsi="Courier New" w:eastAsia="Courier New" w:cs="Courier New"/>
          <w:sz w:val="18"/>
          <w:szCs w:val="18"/>
        </w:rPr>
        <w:t xml:space="preserve">    loss.backward(); opt.step()</w:t>
      </w:r>
    </w:p>
    <w:p w14:paraId="6D72DFB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20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Полный исходный код обоих алгоритмов, цикла обучения и построения графиков содержится в прилагаемом файле main.py.</w:t>
      </w:r>
    </w:p>
    <w:p w14:paraId="385D7B8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20"/>
        <w:textAlignment w:val="auto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Результаты эксперимента</w:t>
      </w:r>
    </w:p>
    <w:p w14:paraId="66B0167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20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На рисунке 1 представлены усреднённые по трём сидам кривые суммарной награды с полосой ±σ. Видно, что после начального этапа (≈25 эпизодов прогрева буфера) кривая BCDA устойчиво располагается выше кривой PPO на протяжении почти всего обучения. BCDA быстрее выходит на уровень около −1000…−1050 и удерживает его, тогда как PPO стабилизируется на более низком уровне около −1100…−1150. При этом ни один из алгоритмов в пределах 250 эпизодов не достигает ориентира −200: задача остаётся не доведённой до близкого к оптимальному решения при заданном бюджете обучения, однако BCDA демонстрирует систематическое преимущество над PPO.</w:t>
      </w:r>
    </w:p>
    <w:p w14:paraId="1111C1D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</w:pPr>
      <w:r>
        <w:drawing>
          <wp:inline distT="0" distB="0" distL="0" distR="0">
            <wp:extent cx="5210175" cy="2362200"/>
            <wp:effectExtent l="0" t="0" r="9525" b="0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829F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</w:pPr>
      <w:r>
        <w:rPr>
          <w:rFonts w:ascii="Times New Roman" w:hAnsi="Times New Roman" w:eastAsia="Times New Roman" w:cs="Times New Roman"/>
          <w:i/>
          <w:iCs/>
          <w:sz w:val="28"/>
          <w:szCs w:val="28"/>
        </w:rPr>
        <w:t>Рисунок 1 — BCDA против PPO: среднее по 3 сидам, полоса ±σ</w:t>
      </w:r>
    </w:p>
    <w:p w14:paraId="6D6FDE7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20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На рисунке 2 приведена разбивка по отдельным сидам. У BCDA (левый график) все три кривые ведут себя согласованно: после спада в первые ~40 эпизодов они уверенно растут и группируются в узком коридоре около −1000…−1100. У PPO (правый график) разброс между сидами заметно шире, а характер обучения менее регулярен — отдельные сиды то поднимаются, то проседают, и устойчивого общего плато к 250-му эпизоду не формируется. Это указывает на более высокую воспроизводимость результата у BCDA.</w:t>
      </w:r>
    </w:p>
    <w:p w14:paraId="7FDE28B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</w:pPr>
      <w:r>
        <w:drawing>
          <wp:inline distT="0" distB="0" distL="0" distR="0">
            <wp:extent cx="5210175" cy="2000250"/>
            <wp:effectExtent l="0" t="0" r="0" b="0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E186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</w:pPr>
      <w:r>
        <w:rPr>
          <w:rFonts w:ascii="Times New Roman" w:hAnsi="Times New Roman" w:eastAsia="Times New Roman" w:cs="Times New Roman"/>
          <w:i/>
          <w:iCs/>
          <w:sz w:val="28"/>
          <w:szCs w:val="28"/>
        </w:rPr>
        <w:t>Рисунок 2 — Разбивка кривых обучения по отдельным сидам</w:t>
      </w:r>
    </w:p>
    <w:p w14:paraId="5A53A5C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20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На рисунке 3 представлены распределения трёх ключевых метрик по сидам в виде диаграмм размаха. По всем трём показателям — средней награде за последние 50 эпизодов, максимальной достигнутой награде и средней награде за первые 50 эпизодов — медиана и квартили BCDA расположены выше соответствующих значений PPO. Особенно показательна метрика «Avg first 50 эп.»: BCDA уже на раннем этапе обучается быстрее. Кроме того, межквартильный размах BCDA в среднем уже, что согласуется с меньшей чувствительностью алгоритма к выбору сида.</w:t>
      </w:r>
    </w:p>
    <w:p w14:paraId="6808F8D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</w:pPr>
      <w:r>
        <w:drawing>
          <wp:inline distT="0" distB="0" distL="0" distR="0">
            <wp:extent cx="5210175" cy="1600200"/>
            <wp:effectExtent l="0" t="0" r="0" b="0"/>
            <wp:docPr id="3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93DE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</w:pPr>
      <w:r>
        <w:rPr>
          <w:rFonts w:ascii="Times New Roman" w:hAnsi="Times New Roman" w:eastAsia="Times New Roman" w:cs="Times New Roman"/>
          <w:i/>
          <w:iCs/>
          <w:sz w:val="28"/>
          <w:szCs w:val="28"/>
        </w:rPr>
        <w:t>Рисунок 3 — Распределение ключевых метрик по сидам</w:t>
      </w:r>
    </w:p>
    <w:p w14:paraId="34715BA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20"/>
        <w:textAlignment w:val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</w:p>
    <w:p w14:paraId="0FB08A5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20"/>
        <w:textAlignment w:val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</w:p>
    <w:p w14:paraId="7FB7C1B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20"/>
        <w:textAlignment w:val="auto"/>
      </w:pPr>
      <w:bookmarkStart w:id="0" w:name="_GoBack"/>
      <w:bookmarkEnd w:id="0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Сводная таблица результатов</w:t>
      </w:r>
    </w:p>
    <w:p w14:paraId="2D019F6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20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В таблице приведены усреднённые по трём сидам значения метрик, считанные по результатам обучения (рисунки 1–3). Большее значение (ближе к нулю) соответствует лучшей политике.</w:t>
      </w:r>
    </w:p>
    <w:tbl>
      <w:tblPr>
        <w:tblStyle w:val="9"/>
        <w:tblW w:w="845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650"/>
        <w:gridCol w:w="2400"/>
        <w:gridCol w:w="2400"/>
      </w:tblGrid>
      <w:tr w14:paraId="3FF462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65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5991CA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Метрика (среднее по сидам)</w:t>
            </w:r>
          </w:p>
        </w:tc>
        <w:tc>
          <w:tcPr>
            <w:tcW w:w="24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8DBBD9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BCDA</w:t>
            </w:r>
          </w:p>
        </w:tc>
        <w:tc>
          <w:tcPr>
            <w:tcW w:w="24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FE0D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1214E7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PPO</w:t>
            </w:r>
          </w:p>
        </w:tc>
      </w:tr>
      <w:tr w14:paraId="694447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5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A80A25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Avg за последние 50 эп.</w:t>
            </w:r>
          </w:p>
        </w:tc>
        <w:tc>
          <w:tcPr>
            <w:tcW w:w="24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EAF3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E7EA22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≈ −1085</w:t>
            </w:r>
          </w:p>
        </w:tc>
        <w:tc>
          <w:tcPr>
            <w:tcW w:w="24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CEFE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D0129E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≈ −1150</w:t>
            </w:r>
          </w:p>
        </w:tc>
      </w:tr>
      <w:tr w14:paraId="7B3ADB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5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26853D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Max награда</w:t>
            </w:r>
          </w:p>
        </w:tc>
        <w:tc>
          <w:tcPr>
            <w:tcW w:w="24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EAF3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A399E4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≈ −680</w:t>
            </w:r>
          </w:p>
        </w:tc>
        <w:tc>
          <w:tcPr>
            <w:tcW w:w="24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CEFE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152072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≈ −710</w:t>
            </w:r>
          </w:p>
        </w:tc>
      </w:tr>
      <w:tr w14:paraId="4A95FE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5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A8816D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Avg за первые 50 эп.</w:t>
            </w:r>
          </w:p>
        </w:tc>
        <w:tc>
          <w:tcPr>
            <w:tcW w:w="24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EAF3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E886B1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≈ −1170</w:t>
            </w:r>
          </w:p>
        </w:tc>
        <w:tc>
          <w:tcPr>
            <w:tcW w:w="24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CEFE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5862C5C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≈ −1235</w:t>
            </w:r>
          </w:p>
        </w:tc>
      </w:tr>
      <w:tr w14:paraId="2540B4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5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04F0D87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Разброс между сидами (σ, Avg-50)</w:t>
            </w:r>
          </w:p>
        </w:tc>
        <w:tc>
          <w:tcPr>
            <w:tcW w:w="24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EAF3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4962EE6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ниже</w:t>
            </w:r>
          </w:p>
        </w:tc>
        <w:tc>
          <w:tcPr>
            <w:tcW w:w="24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CEFE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3546525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выше</w:t>
            </w:r>
          </w:p>
        </w:tc>
      </w:tr>
      <w:tr w14:paraId="105A49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5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B5CE69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Скорость выхода на плато</w:t>
            </w:r>
          </w:p>
        </w:tc>
        <w:tc>
          <w:tcPr>
            <w:tcW w:w="24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EAF3F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19B5EB7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быстрее</w:t>
            </w:r>
          </w:p>
        </w:tc>
        <w:tc>
          <w:tcPr>
            <w:tcW w:w="24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CEFE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75E5654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медленнее</w:t>
            </w:r>
          </w:p>
        </w:tc>
      </w:tr>
    </w:tbl>
    <w:p w14:paraId="553BD86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20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Примечание: числовые значения метрик считаны с итоговых графиков и приведены как усреднённые по сидам ориентиры; знак «≈» отражает округление.</w:t>
      </w:r>
    </w:p>
    <w:p w14:paraId="39F3EC8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20"/>
        <w:textAlignment w:val="auto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Заключение</w:t>
      </w:r>
    </w:p>
    <w:p w14:paraId="17811C3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20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В ходе финальной работы был реализован современный гибридный алгоритм BCDA (Broad Critic Deep Actor) и проведено его сравнение с классическим алгоритмом PPO из практической работы №2 в среде непрерывного управления Pendulum-v1. Обучение выполнялось в идентичных условиях: 250 эпизодов и три сида [7, 17, 42] для каждого алгоритма.</w:t>
      </w:r>
    </w:p>
    <w:p w14:paraId="173AEBE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20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Результаты показали, что в данной постановке BCDA превосходит PPO по всем рассмотренным метрикам: он быстрее обучается на раннем этапе, выходит на более высокий уровень суммарной награды (≈ −1000…−1050 против ≈ −1100…−1150 у PPO) и демонстрирует меньший разброс результатов между сидами, то есть более устойчив и воспроизводим. Преимущество BCDA согласуется с заявленной в статье идеей: аналитический пересчёт критика методом гребневой регрессии позволяет получать стабильную оценку ценности без длительного градиентного обучения, что особенно полезно при ограниченном числе эпизодов.</w:t>
      </w:r>
    </w:p>
    <w:p w14:paraId="715E06F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20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Вместе с тем в пределах заданного бюджета обучения (250 эпизодов) ни один из алгоритмов не достиг ориентира −200, то есть задача не была доведена до близкого к оптимальному решения. Это указывает на то, что для полного освоения среды требуется либо больший бюджет обучения, либо дополнительная настройка гиперпараметров. Тем не менее основной вывод работы остаётся однозначным: гибридная архитектура BCDA обеспечивает более быстрый старт, более высокое промежуточное качество политики и большую устойчивость к выбору случайного сида по сравнению с PPO в среде Pendulum-v1.</w:t>
      </w:r>
    </w:p>
    <w:sectPr>
      <w:pgSz w:w="11906" w:h="16838"/>
      <w:pgMar w:top="1440" w:right="1440" w:bottom="1440" w:left="2016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bullet"/>
      <w:lvlText w:val="–"/>
      <w:lvlJc w:val="left"/>
      <w:pPr>
        <w:ind w:left="10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02031C4B"/>
    <w:rsid w:val="26042FD1"/>
    <w:rsid w:val="2D7F4033"/>
    <w:rsid w:val="2FD1538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qFormat="1" w:unhideWhenUsed="0" w:uiPriority="0" w:semiHidden="0" w:name="List Paragraph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sz w:val="28"/>
      <w:szCs w:val="28"/>
    </w:rPr>
  </w:style>
  <w:style w:type="paragraph" w:styleId="2">
    <w:name w:val="heading 1"/>
    <w:next w:val="1"/>
    <w:qFormat/>
    <w:uiPriority w:val="0"/>
    <w:rPr>
      <w:rFonts w:ascii="Times New Roman" w:hAnsi="Times New Roman" w:eastAsia="Times New Roman" w:cs="Times New Roman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="Times New Roman" w:hAnsi="Times New Roman" w:eastAsia="Times New Roman" w:cs="Times New Roman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="Times New Roman" w:hAnsi="Times New Roman" w:eastAsia="Times New Roman" w:cs="Times New Roman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Times New Roman" w:hAnsi="Times New Roman" w:eastAsia="Times New Roman" w:cs="Times New Roman"/>
      <w:i/>
      <w:iCs/>
      <w:color w:val="2E74B5"/>
      <w:sz w:val="28"/>
      <w:szCs w:val="28"/>
    </w:rPr>
  </w:style>
  <w:style w:type="paragraph" w:styleId="6">
    <w:name w:val="heading 5"/>
    <w:next w:val="1"/>
    <w:qFormat/>
    <w:uiPriority w:val="0"/>
    <w:rPr>
      <w:rFonts w:ascii="Times New Roman" w:hAnsi="Times New Roman" w:eastAsia="Times New Roman" w:cs="Times New Roman"/>
      <w:color w:val="2E74B5"/>
      <w:sz w:val="28"/>
      <w:szCs w:val="28"/>
    </w:rPr>
  </w:style>
  <w:style w:type="paragraph" w:styleId="7">
    <w:name w:val="heading 6"/>
    <w:next w:val="1"/>
    <w:qFormat/>
    <w:uiPriority w:val="0"/>
    <w:rPr>
      <w:rFonts w:ascii="Times New Roman" w:hAnsi="Times New Roman" w:eastAsia="Times New Roman" w:cs="Times New Roman"/>
      <w:color w:val="1F4D78"/>
      <w:sz w:val="28"/>
      <w:szCs w:val="28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character" w:styleId="10">
    <w:name w:val="footnote reference"/>
    <w:semiHidden/>
    <w:unhideWhenUsed/>
    <w:qFormat/>
    <w:uiPriority w:val="99"/>
    <w:rPr>
      <w:vertAlign w:val="superscript"/>
    </w:rPr>
  </w:style>
  <w:style w:type="character" w:styleId="11">
    <w:name w:val="endnote reference"/>
    <w:semiHidden/>
    <w:unhideWhenUsed/>
    <w:qFormat/>
    <w:uiPriority w:val="99"/>
    <w:rPr>
      <w:vertAlign w:val="superscript"/>
    </w:rPr>
  </w:style>
  <w:style w:type="character" w:styleId="12">
    <w:name w:val="Hyperlink"/>
    <w:unhideWhenUsed/>
    <w:qFormat/>
    <w:uiPriority w:val="99"/>
    <w:rPr>
      <w:color w:val="0563C1"/>
      <w:u w:val="single"/>
    </w:rPr>
  </w:style>
  <w:style w:type="paragraph" w:styleId="13">
    <w:name w:val="endnote text"/>
    <w:link w:val="18"/>
    <w:semiHidden/>
    <w:unhideWhenUsed/>
    <w:qFormat/>
    <w:uiPriority w:val="99"/>
    <w:pPr>
      <w:spacing w:after="0" w:line="240" w:lineRule="auto"/>
    </w:pPr>
    <w:rPr>
      <w:rFonts w:ascii="Times New Roman" w:hAnsi="Times New Roman" w:eastAsia="Times New Roman" w:cs="Times New Roman"/>
      <w:sz w:val="20"/>
      <w:szCs w:val="20"/>
    </w:rPr>
  </w:style>
  <w:style w:type="paragraph" w:styleId="14">
    <w:name w:val="footnote text"/>
    <w:link w:val="17"/>
    <w:semiHidden/>
    <w:unhideWhenUsed/>
    <w:qFormat/>
    <w:uiPriority w:val="99"/>
    <w:pPr>
      <w:spacing w:after="0" w:line="240" w:lineRule="auto"/>
    </w:pPr>
    <w:rPr>
      <w:rFonts w:ascii="Times New Roman" w:hAnsi="Times New Roman" w:eastAsia="Times New Roman" w:cs="Times New Roman"/>
      <w:sz w:val="20"/>
      <w:szCs w:val="20"/>
    </w:rPr>
  </w:style>
  <w:style w:type="paragraph" w:styleId="15">
    <w:name w:val="Title"/>
    <w:qFormat/>
    <w:uiPriority w:val="0"/>
    <w:rPr>
      <w:rFonts w:ascii="Times New Roman" w:hAnsi="Times New Roman" w:eastAsia="Times New Roman" w:cs="Times New Roman"/>
      <w:sz w:val="56"/>
      <w:szCs w:val="56"/>
    </w:rPr>
  </w:style>
  <w:style w:type="paragraph" w:styleId="16">
    <w:name w:val="List Paragraph"/>
    <w:qFormat/>
    <w:uiPriority w:val="0"/>
    <w:rPr>
      <w:rFonts w:ascii="Times New Roman" w:hAnsi="Times New Roman" w:eastAsia="Times New Roman" w:cs="Times New Roman"/>
      <w:sz w:val="28"/>
      <w:szCs w:val="28"/>
    </w:rPr>
  </w:style>
  <w:style w:type="character" w:customStyle="1" w:styleId="17">
    <w:name w:val="Footnote Text Char"/>
    <w:link w:val="14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13"/>
    <w:semiHidden/>
    <w:unhideWhenUsed/>
    <w:qFormat/>
    <w:uiPriority w:val="99"/>
    <w:rPr>
      <w:sz w:val="20"/>
      <w:szCs w:val="20"/>
    </w:rPr>
  </w:style>
  <w:style w:type="paragraph" w:customStyle="1" w:styleId="19">
    <w:name w:val="Times14_РИО2"/>
    <w:basedOn w:val="1"/>
    <w:qFormat/>
    <w:uiPriority w:val="0"/>
    <w:pPr>
      <w:tabs>
        <w:tab w:val="left" w:pos="709"/>
      </w:tabs>
      <w:spacing w:line="312" w:lineRule="auto"/>
      <w:ind w:firstLine="709"/>
      <w:jc w:val="both"/>
    </w:pPr>
    <w:rPr>
      <w:sz w:val="28"/>
    </w:rPr>
  </w:style>
  <w:style w:type="character" w:customStyle="1" w:styleId="20">
    <w:name w:val="Book Title"/>
    <w:basedOn w:val="8"/>
    <w:qFormat/>
    <w:uiPriority w:val="33"/>
    <w:rPr>
      <w:b/>
      <w:bCs/>
      <w:smallCaps/>
      <w:spacing w:val="5"/>
    </w:rPr>
  </w:style>
  <w:style w:type="table" w:customStyle="1" w:styleId="21">
    <w:name w:val="_Style 12"/>
    <w:basedOn w:val="22"/>
    <w:qFormat/>
    <w:uiPriority w:val="0"/>
  </w:style>
  <w:style w:type="table" w:customStyle="1" w:styleId="22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9</Pages>
  <Words>1471</Words>
  <Characters>9106</Characters>
  <TotalTime>0</TotalTime>
  <ScaleCrop>false</ScaleCrop>
  <LinksUpToDate>false</LinksUpToDate>
  <CharactersWithSpaces>10717</CharactersWithSpaces>
  <Application>WPS Office_12.1.0.26372_F1E327BC-269C-435d-A152-05C5408002CA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2026-05-31T18:56:00Z</dcterms:created>
  <dc:creator>Un-named</dc:creator>
  <cp:lastModifiedBy>Семён Татанов</cp:lastModifiedBy>
  <dcterms:modified xsi:type="dcterms:W3CDTF">2026-05-31T19:51:43Z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eyJoZGlkIjoiYjE0MzMzZWEzYjZkOGRjYjRmNDE2NDQwN2EyMzZlOTUiLCJ1c2VySWQiOiI4NDIxMDg4MDI0MjcifQ==</vt:lpwstr>
  </property>
  <property fmtid="{D5CDD505-2E9C-101B-9397-08002B2CF9AE}" pid="3" name="KSOProductBuildVer">
    <vt:lpwstr>1049-12.1.0.26372</vt:lpwstr>
  </property>
  <property fmtid="{D5CDD505-2E9C-101B-9397-08002B2CF9AE}" pid="4" name="ICV">
    <vt:lpwstr>07A29ACF6D98427DA46174195957CDAA_13</vt:lpwstr>
  </property>
</Properties>
</file>