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Computational response to reviewer questions on IDMP anchoring</w:t>
      </w:r>
    </w:p>
    <w:p>
      <w:r>
        <w:rPr>
          <w:i/>
        </w:rPr>
        <w:t>VASP calculations based only on supplied PDFs 01-03 and project-local structures; draft for author response</w:t>
      </w:r>
    </w:p>
    <w:p>
      <w:pPr>
        <w:pStyle w:val="Heading1"/>
      </w:pPr>
      <w:r>
        <w:t>Executive Summary</w:t>
      </w:r>
    </w:p>
    <w:p>
      <w:r>
        <w:t>Reviewer #1 questioned whether IDMP can bind through both phosphonic-acid termini without steric hindrance. Reviewer #3 requested that the computational charge-density figures include coordinate axes and element-color identification. I addressed both points with a clean-room VASP workflow using only the supplied manuscript, Supporting Information, response letter, and project-local structures.</w:t>
      </w:r>
    </w:p>
    <w:p>
      <w:r>
        <w:t>The central result is that the relaxed IDMP double-ended model forms two Pb-O contacts to two different surface Pb sites and two different phosphonate P centers, with Pb-O distances of 2.557 and 2.558 A. Its adsorption energy is -2.577 eV relative to the clean slab plus gas-phase IDMP, which is 1.069 eV more exothermic than the IDMP single-start control and 1.108 eV more exothermic than the AMP half-ligand control.</w:t>
      </w:r>
    </w:p>
    <w:p>
      <w:r>
        <w:t>The computations therefore support the authors' mechanistic statement that double-ended IDMP anchoring is sterically feasible on adjacent exposed Pb sites. The result should be presented together with the experimental evidence already present in the supplied files: the IDMP P=O FTIR shift with PbBr2, Pb/Br XPS shifts after IDMP treatment, stronger 207Pb NMR affinity for IDMP than AMP, and unchanged PL/UV-vis peak positions as IDMP loading changes.</w:t>
      </w:r>
    </w:p>
    <w:p>
      <w:r>
        <w:t>For Reviewer #3, the report includes revised Bader-charge, total charge-density, and frozen-fragment charge-density-difference visualizations with coordinate axes, atom labels, element-color legends, and colorbars. The CDD branch initially failed on GPU memory limits, but the fragment statics were completed on CPU nodes with the same 280 x 280 x 448 CHGCAR grid as the combined statics.</w:t>
      </w:r>
    </w:p>
    <w:p>
      <w:r>
        <w:t>Reviewer #1's deep-level-defect concern should not be answered from the near-EF DOS metric alone. The fixed-density DOS check shows that the +1.6 to +1.9 eV window associated with the stated deep traps is empty for the exposed-Pb, AMP-passivated, and IDMP-passivated proxy models: integrated DOS in that window is 0.000e+00 states/cell for IDMP and also zero for the controls. The earlier EF +/- 0.1 eV values are numerical-scale near-gap diagnostics, not quantitative deep-trap densities.</w:t>
      </w:r>
    </w:p>
    <w:p>
      <w:r>
        <w:t>The original molecular dipole, electrostatic-potential, and ELF analysis was reproduced from VASP CHGCAR/LOCPOT/ELFCAR outputs. The CHGCAR-integrated dipole magnitudes are 1.861 D for IDMP and 2.515 D for AMP; the relative ESP slice p05/p50/p95 values are -44.91/-1.69/5.19 eV for IDMP and -24.43/-0.17/4.59 eV for AMP.</w:t>
      </w:r>
    </w:p>
    <w:p>
      <w:r>
        <w:t>Total Bader charge sums are still reported because the reviewer asked for full charge transfer rather than only local contact charges, but the values are not used as proof of a near-integer electron-transfer or covalent-bond picture. Under the AECCAR0+AECCAR2 Bader partition, IDMP gives q_ads = -1.061 e and q_slab = +1.061 e; this large whole-fragment partition sum is treated as a model-dependent descriptor and is interpreted together with CDD, local Pb-O charges, and geometry.</w:t>
      </w:r>
    </w:p>
    <w:p>
      <w:pPr>
        <w:pStyle w:val="Heading1"/>
      </w:pPr>
      <w:r>
        <w:t>Reviewer 1 Comment 2</w:t>
      </w:r>
    </w:p>
    <w:p>
      <w:r>
        <w:t>Reviewer comment: "The authors claimed that IDMP could anchor with the perovskite through double-ends, but I am worried about the steric hindrance. Please provide both experimental and theoretical evidence."</w:t>
      </w:r>
    </w:p>
    <w:p>
      <w:r>
        <w:t>Computational strategy: I built an exposed-Pb local window from the supplied CsPbBr3 slab by neutral adjacent CsBr removal and compared IDMP double-ended anchoring, an IDMP single-start control, and AMP as the half-IDMP control. This is a local mechanistic model, not a reproduction of the full quasi-2D film morphology. It directly tests the steric feasibility of placing the two phosphonate termini onto nearby Pb sites.</w:t>
      </w:r>
    </w:p>
    <w:p>
      <w:r>
        <w:t>The accepted IDMP double-ended structure remains intact after relaxation. The two shortest coordinating contacts are Pb33-O111 = 2.557 A and Pb35-O112 = 2.558 A. Contact-topology assignment shows that these two O atoms belong to two different phosphonate P centers, P105 and P106, so this is a genuine two-ended binding motif rather than two O atoms from one phosphonate group.</w:t>
      </w:r>
    </w:p>
    <w:p>
      <w:r>
        <w:t>Energetically, the double-ended IDMP model is substantially favored. Using static VASP E0 values, E_ads(IDMP double-ended) = -2.577 eV, E_ads(IDMP single-start control) = -1.508 eV, and E_ads(AMP single-ended) = -1.469 eV. More negative values indicate stronger binding relative to the clean slab and gas-phase ligand reference states.</w:t>
      </w:r>
    </w:p>
    <w:p>
      <w:r>
        <w:rPr>
          <w:i/>
          <w:sz w:val="18"/>
        </w:rPr>
        <w:t>Table 1. Relative adsorption energies from final static E0 values. Reference states are the relaxed clean slab window plus the corresponding gas-phase ligand(s). More negative E_ads means stronger binding. Total VASP energies are not reported.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Formula</w:t>
            </w:r>
          </w:p>
        </w:tc>
        <w:tc>
          <w:tcPr>
            <w:tcW w:type="dxa" w:w="1728"/>
          </w:tcPr>
          <w:p>
            <w:r>
              <w:t>E_ads (eV)</w:t>
            </w:r>
          </w:p>
        </w:tc>
        <w:tc>
          <w:tcPr>
            <w:tcW w:type="dxa" w:w="1728"/>
          </w:tcPr>
          <w:p>
            <w:r>
              <w:t>E_ads per ligand (eV)</w:t>
            </w:r>
          </w:p>
        </w:tc>
        <w:tc>
          <w:tcPr>
            <w:tcW w:type="dxa" w:w="1728"/>
          </w:tcPr>
          <w:p>
            <w:r>
              <w:t>Status</w:t>
            </w:r>
          </w:p>
        </w:tc>
      </w:tr>
      <w:tr>
        <w:tc>
          <w:tcPr>
            <w:tcW w:type="dxa" w:w="1728"/>
          </w:tcPr>
          <w:p>
            <w:r>
              <w:t>IDMP double-ended</w:t>
            </w:r>
          </w:p>
        </w:tc>
        <w:tc>
          <w:tcPr>
            <w:tcW w:type="dxa" w:w="1728"/>
          </w:tcPr>
          <w:p>
            <w:r>
              <w:t>E(ads_idmp_double_x)-E(slab_window)-E(gas_idmp)</w:t>
            </w:r>
          </w:p>
        </w:tc>
        <w:tc>
          <w:tcPr>
            <w:tcW w:type="dxa" w:w="1728"/>
          </w:tcPr>
          <w:p>
            <w:r>
              <w:t>-2.577</w:t>
            </w:r>
          </w:p>
        </w:tc>
        <w:tc>
          <w:tcPr>
            <w:tcW w:type="dxa" w:w="1728"/>
          </w:tcPr>
          <w:p>
            <w:r>
              <w:t>-2.577</w:t>
            </w:r>
          </w:p>
        </w:tc>
        <w:tc>
          <w:tcPr>
            <w:tcW w:type="dxa" w:w="1728"/>
          </w:tcPr>
          <w:p>
            <w:r>
              <w:t>computed</w:t>
            </w:r>
          </w:p>
        </w:tc>
      </w:tr>
      <w:tr>
        <w:tc>
          <w:tcPr>
            <w:tcW w:type="dxa" w:w="1728"/>
          </w:tcPr>
          <w:p>
            <w:r>
              <w:t>IDMP single-start control</w:t>
            </w:r>
          </w:p>
        </w:tc>
        <w:tc>
          <w:tcPr>
            <w:tcW w:type="dxa" w:w="1728"/>
          </w:tcPr>
          <w:p>
            <w:r>
              <w:t>E(ads_idmp_single)-E(slab_window)-E(gas_idmp)</w:t>
            </w:r>
          </w:p>
        </w:tc>
        <w:tc>
          <w:tcPr>
            <w:tcW w:type="dxa" w:w="1728"/>
          </w:tcPr>
          <w:p>
            <w:r>
              <w:t>-1.508</w:t>
            </w:r>
          </w:p>
        </w:tc>
        <w:tc>
          <w:tcPr>
            <w:tcW w:type="dxa" w:w="1728"/>
          </w:tcPr>
          <w:p>
            <w:r>
              <w:t>-1.508</w:t>
            </w:r>
          </w:p>
        </w:tc>
        <w:tc>
          <w:tcPr>
            <w:tcW w:type="dxa" w:w="1728"/>
          </w:tcPr>
          <w:p>
            <w:r>
              <w:t>computed</w:t>
            </w:r>
          </w:p>
        </w:tc>
      </w:tr>
      <w:tr>
        <w:tc>
          <w:tcPr>
            <w:tcW w:type="dxa" w:w="1728"/>
          </w:tcPr>
          <w:p>
            <w:r>
              <w:t>AMP single-ended</w:t>
            </w:r>
          </w:p>
        </w:tc>
        <w:tc>
          <w:tcPr>
            <w:tcW w:type="dxa" w:w="1728"/>
          </w:tcPr>
          <w:p>
            <w:r>
              <w:t>E(ads_amp_single)-E(slab_window)-E(gas_amp)</w:t>
            </w:r>
          </w:p>
        </w:tc>
        <w:tc>
          <w:tcPr>
            <w:tcW w:type="dxa" w:w="1728"/>
          </w:tcPr>
          <w:p>
            <w:r>
              <w:t>-1.469</w:t>
            </w:r>
          </w:p>
        </w:tc>
        <w:tc>
          <w:tcPr>
            <w:tcW w:type="dxa" w:w="1728"/>
          </w:tcPr>
          <w:p>
            <w:r>
              <w:t>-1.469</w:t>
            </w:r>
          </w:p>
        </w:tc>
        <w:tc>
          <w:tcPr>
            <w:tcW w:type="dxa" w:w="1728"/>
          </w:tcPr>
          <w:p>
            <w:r>
              <w:t>computed</w:t>
            </w:r>
          </w:p>
        </w:tc>
      </w:tr>
    </w:tbl>
    <w:p>
      <w:r>
        <w:rPr>
          <w:i/>
          <w:sz w:val="18"/>
        </w:rPr>
        <w:t>Table 2. Relaxed Pb-O contact topology. P-center assignment is based on nearest ligand P-O connectivity in the relaxed CONTCAR.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Pb-O contacts</w:t>
            </w:r>
          </w:p>
        </w:tc>
        <w:tc>
          <w:tcPr>
            <w:tcW w:type="dxa" w:w="1728"/>
          </w:tcPr>
          <w:p>
            <w:r>
              <w:t>Unique Pb sites</w:t>
            </w:r>
          </w:p>
        </w:tc>
        <w:tc>
          <w:tcPr>
            <w:tcW w:type="dxa" w:w="1728"/>
          </w:tcPr>
          <w:p>
            <w:r>
              <w:t>Unique phosphonate P centers</w:t>
            </w:r>
          </w:p>
        </w:tc>
        <w:tc>
          <w:tcPr>
            <w:tcW w:type="dxa" w:w="1728"/>
          </w:tcPr>
          <w:p>
            <w:r>
              <w:t>Contact distances</w:t>
            </w:r>
          </w:p>
        </w:tc>
      </w:tr>
      <w:tr>
        <w:tc>
          <w:tcPr>
            <w:tcW w:type="dxa" w:w="1728"/>
          </w:tcPr>
          <w:p>
            <w:r>
              <w:t>ads_idmp_double_x</w:t>
            </w:r>
          </w:p>
        </w:tc>
        <w:tc>
          <w:tcPr>
            <w:tcW w:type="dxa" w:w="1728"/>
          </w:tcPr>
          <w:p>
            <w:r>
              <w:t>2</w:t>
            </w:r>
          </w:p>
        </w:tc>
        <w:tc>
          <w:tcPr>
            <w:tcW w:type="dxa" w:w="1728"/>
          </w:tcPr>
          <w:p>
            <w:r>
              <w:t>2</w:t>
            </w:r>
          </w:p>
        </w:tc>
        <w:tc>
          <w:tcPr>
            <w:tcW w:type="dxa" w:w="1728"/>
          </w:tcPr>
          <w:p>
            <w:r>
              <w:t>2</w:t>
            </w:r>
          </w:p>
        </w:tc>
        <w:tc>
          <w:tcPr>
            <w:tcW w:type="dxa" w:w="1728"/>
          </w:tcPr>
          <w:p>
            <w:r>
              <w:t>Pb33-O111 2.557 A; Pb35-O112 2.558 A</w:t>
            </w:r>
          </w:p>
        </w:tc>
      </w:tr>
      <w:tr>
        <w:tc>
          <w:tcPr>
            <w:tcW w:type="dxa" w:w="1728"/>
          </w:tcPr>
          <w:p>
            <w:r>
              <w:t>ads_idmp_single</w:t>
            </w:r>
          </w:p>
        </w:tc>
        <w:tc>
          <w:tcPr>
            <w:tcW w:type="dxa" w:w="1728"/>
          </w:tcPr>
          <w:p>
            <w:r>
              <w:t>2</w:t>
            </w:r>
          </w:p>
        </w:tc>
        <w:tc>
          <w:tcPr>
            <w:tcW w:type="dxa" w:w="1728"/>
          </w:tcPr>
          <w:p>
            <w:r>
              <w:t>2</w:t>
            </w:r>
          </w:p>
        </w:tc>
        <w:tc>
          <w:tcPr>
            <w:tcW w:type="dxa" w:w="1728"/>
          </w:tcPr>
          <w:p>
            <w:r>
              <w:t>2</w:t>
            </w:r>
          </w:p>
        </w:tc>
        <w:tc>
          <w:tcPr>
            <w:tcW w:type="dxa" w:w="1728"/>
          </w:tcPr>
          <w:p>
            <w:r>
              <w:t>Pb33-O111 2.471 A; Pb35-O110 2.882 A</w:t>
            </w:r>
          </w:p>
        </w:tc>
      </w:tr>
      <w:tr>
        <w:tc>
          <w:tcPr>
            <w:tcW w:type="dxa" w:w="1728"/>
          </w:tcPr>
          <w:p>
            <w:r>
              <w:t>ads_amp_single</w:t>
            </w:r>
          </w:p>
        </w:tc>
        <w:tc>
          <w:tcPr>
            <w:tcW w:type="dxa" w:w="1728"/>
          </w:tcPr>
          <w:p>
            <w:r>
              <w:t>1</w:t>
            </w:r>
          </w:p>
        </w:tc>
        <w:tc>
          <w:tcPr>
            <w:tcW w:type="dxa" w:w="1728"/>
          </w:tcPr>
          <w:p>
            <w:r>
              <w:t>1</w:t>
            </w:r>
          </w:p>
        </w:tc>
        <w:tc>
          <w:tcPr>
            <w:tcW w:type="dxa" w:w="1728"/>
          </w:tcPr>
          <w:p>
            <w:r>
              <w:t>1</w:t>
            </w:r>
          </w:p>
        </w:tc>
        <w:tc>
          <w:tcPr>
            <w:tcW w:type="dxa" w:w="1728"/>
          </w:tcPr>
          <w:p>
            <w:r>
              <w:t>Pb33-O108 2.573 A</w:t>
            </w:r>
          </w:p>
        </w:tc>
      </w:tr>
    </w:tbl>
    <w:p>
      <w:pPr>
        <w:jc w:val="center"/>
      </w:pPr>
      <w:r>
        <w:drawing>
          <wp:inline xmlns:a="http://schemas.openxmlformats.org/drawingml/2006/main" xmlns:pic="http://schemas.openxmlformats.org/drawingml/2006/picture">
            <wp:extent cx="5852160" cy="2463931"/>
            <wp:docPr id="1" name="Picture 1"/>
            <wp:cNvGraphicFramePr>
              <a:graphicFrameLocks noChangeAspect="1"/>
            </wp:cNvGraphicFramePr>
            <a:graphic>
              <a:graphicData uri="http://schemas.openxmlformats.org/drawingml/2006/picture">
                <pic:pic>
                  <pic:nvPicPr>
                    <pic:cNvPr id="0" name="ads_idmp_double_x_top_side_panel.png"/>
                    <pic:cNvPicPr/>
                  </pic:nvPicPr>
                  <pic:blipFill>
                    <a:blip r:embed="rId9"/>
                    <a:stretch>
                      <a:fillRect/>
                    </a:stretch>
                  </pic:blipFill>
                  <pic:spPr>
                    <a:xfrm>
                      <a:off x="0" y="0"/>
                      <a:ext cx="5852160" cy="2463931"/>
                    </a:xfrm>
                    <a:prstGeom prst="rect"/>
                  </pic:spPr>
                </pic:pic>
              </a:graphicData>
            </a:graphic>
          </wp:inline>
        </w:drawing>
      </w:r>
    </w:p>
    <w:p>
      <w:r>
        <w:rPr>
          <w:i/>
          <w:sz w:val="18"/>
        </w:rPr>
        <w:t>Figure 1. Relaxed IDMP double-ended adsorption model. (a) Orthographic top view; (b) orthographic side view. Element colors are listed in the panel. Source: work/calculations/relax_accepted/ads_idmp_double_x/CONTCAR.</w:t>
      </w:r>
    </w:p>
    <w:p>
      <w:pPr>
        <w:jc w:val="center"/>
      </w:pPr>
      <w:r>
        <w:drawing>
          <wp:inline xmlns:a="http://schemas.openxmlformats.org/drawingml/2006/main" xmlns:pic="http://schemas.openxmlformats.org/drawingml/2006/picture">
            <wp:extent cx="5852160" cy="2479330"/>
            <wp:docPr id="2" name="Picture 2"/>
            <wp:cNvGraphicFramePr>
              <a:graphicFrameLocks noChangeAspect="1"/>
            </wp:cNvGraphicFramePr>
            <a:graphic>
              <a:graphicData uri="http://schemas.openxmlformats.org/drawingml/2006/picture">
                <pic:pic>
                  <pic:nvPicPr>
                    <pic:cNvPr id="0" name="ads_amp_single_top_side_panel.png"/>
                    <pic:cNvPicPr/>
                  </pic:nvPicPr>
                  <pic:blipFill>
                    <a:blip r:embed="rId10"/>
                    <a:stretch>
                      <a:fillRect/>
                    </a:stretch>
                  </pic:blipFill>
                  <pic:spPr>
                    <a:xfrm>
                      <a:off x="0" y="0"/>
                      <a:ext cx="5852160" cy="2479330"/>
                    </a:xfrm>
                    <a:prstGeom prst="rect"/>
                  </pic:spPr>
                </pic:pic>
              </a:graphicData>
            </a:graphic>
          </wp:inline>
        </w:drawing>
      </w:r>
    </w:p>
    <w:p>
      <w:r>
        <w:rPr>
          <w:i/>
          <w:sz w:val="18"/>
        </w:rPr>
        <w:t>Figure 2. Relaxed AMP single-ended control. (a) Orthographic top view; (b) orthographic side view. Source: work/calculations/relax_accepted/ads_amp_single/CONTCAR.</w:t>
      </w:r>
    </w:p>
    <w:p>
      <w:pPr>
        <w:jc w:val="center"/>
      </w:pPr>
      <w:r>
        <w:drawing>
          <wp:inline xmlns:a="http://schemas.openxmlformats.org/drawingml/2006/main" xmlns:pic="http://schemas.openxmlformats.org/drawingml/2006/picture">
            <wp:extent cx="5394960" cy="3187480"/>
            <wp:docPr id="3" name="Picture 3"/>
            <wp:cNvGraphicFramePr>
              <a:graphicFrameLocks noChangeAspect="1"/>
            </wp:cNvGraphicFramePr>
            <a:graphic>
              <a:graphicData uri="http://schemas.openxmlformats.org/drawingml/2006/picture">
                <pic:pic>
                  <pic:nvPicPr>
                    <pic:cNvPr id="0" name="adsorption_energy_bar.png"/>
                    <pic:cNvPicPr/>
                  </pic:nvPicPr>
                  <pic:blipFill>
                    <a:blip r:embed="rId11"/>
                    <a:stretch>
                      <a:fillRect/>
                    </a:stretch>
                  </pic:blipFill>
                  <pic:spPr>
                    <a:xfrm>
                      <a:off x="0" y="0"/>
                      <a:ext cx="5394960" cy="3187480"/>
                    </a:xfrm>
                    <a:prstGeom prst="rect"/>
                  </pic:spPr>
                </pic:pic>
              </a:graphicData>
            </a:graphic>
          </wp:inline>
        </w:drawing>
      </w:r>
    </w:p>
    <w:p>
      <w:r>
        <w:rPr>
          <w:i/>
          <w:sz w:val="18"/>
        </w:rPr>
        <w:t>Figure 3. Adsorption-energy comparison on the same exposed-Pb CsPbBr3 window. IDMP double-ended anchoring is the most exothermic tested motif.</w:t>
      </w:r>
    </w:p>
    <w:p>
      <w:pPr>
        <w:jc w:val="center"/>
      </w:pPr>
      <w:r>
        <w:drawing>
          <wp:inline xmlns:a="http://schemas.openxmlformats.org/drawingml/2006/main" xmlns:pic="http://schemas.openxmlformats.org/drawingml/2006/picture">
            <wp:extent cx="5669280" cy="2885491"/>
            <wp:docPr id="4" name="Picture 4"/>
            <wp:cNvGraphicFramePr>
              <a:graphicFrameLocks noChangeAspect="1"/>
            </wp:cNvGraphicFramePr>
            <a:graphic>
              <a:graphicData uri="http://schemas.openxmlformats.org/drawingml/2006/picture">
                <pic:pic>
                  <pic:nvPicPr>
                    <pic:cNvPr id="0" name="pb_o_distance_summary.png"/>
                    <pic:cNvPicPr/>
                  </pic:nvPicPr>
                  <pic:blipFill>
                    <a:blip r:embed="rId12"/>
                    <a:stretch>
                      <a:fillRect/>
                    </a:stretch>
                  </pic:blipFill>
                  <pic:spPr>
                    <a:xfrm>
                      <a:off x="0" y="0"/>
                      <a:ext cx="5669280" cy="2885491"/>
                    </a:xfrm>
                    <a:prstGeom prst="rect"/>
                  </pic:spPr>
                </pic:pic>
              </a:graphicData>
            </a:graphic>
          </wp:inline>
        </w:drawing>
      </w:r>
    </w:p>
    <w:p>
      <w:r>
        <w:rPr>
          <w:i/>
          <w:sz w:val="18"/>
        </w:rPr>
        <w:t>Figure 4. Shortest relaxed Pb-O distances around IDMP and AMP adsorbates. The IDMP double-ended model shows two near-identical Pb-O contacts assigned to two phosphonate termini.</w:t>
      </w:r>
    </w:p>
    <w:p>
      <w:pPr>
        <w:pStyle w:val="Heading1"/>
      </w:pPr>
      <w:r>
        <w:t>Reviewer 1 Comment 4 - Deep-Level Defect DOS (Inconclusive)</w:t>
      </w:r>
    </w:p>
    <w:p>
      <w:r>
        <w:t>Reviewer comment: "The authors should provide more evidence to support the conclusion that IDMP suppresses deep-level defects."</w:t>
      </w:r>
    </w:p>
    <w:p>
      <w:r>
        <w:t>The experimental files already contain the direct device-relevant evidence for this point: SCLC analysis gives a trap-state density decrease from 4.6 x 10^17 cm^-3 to 1.0 x 10^17 cm^-3 after IDMP treatment. The present VASP DOS post-processing should not be presented as a quantitative replacement for that trap-density measurement.</w:t>
      </w:r>
    </w:p>
    <w:p>
      <w:r>
        <w:t>The fixed-density DOS calculations were performed for three matched local proxy structures: the exposed-Pb defect proxy, AMP-passivated exposed-Pb model, and IDMP double-passivated exposed-Pb model. The important clarification is that the previously tabulated EF +/- 0.1 eV metric samples the numerical near-gap/near-EF region, while the stated deep-level traps lie in the +1.6 to +1.9 eV window on the plotted E - EF axis. These are different energy regions.</w:t>
      </w:r>
    </w:p>
    <w:p>
      <w:r>
        <w:t>In the actual +1.6 to +1.9 eV window, the integrated total DOS is 0.000e+00, 0.000e+00, and 0.000e+00 states/cell for exposed-Pb, AMP-passivated, and IDMP-passivated models, respectively. The maximum total DOS in that window is also zero for all three models. Therefore the current DOS calculation does not quantify a deep-level trap signal in that window.</w:t>
      </w:r>
    </w:p>
    <w:p>
      <w:r>
        <w:t>The near-EF numbers are retained only as a diagnostic of the finite Gamma-only semilocal slab DOS, not as evidence for deep-trap passivation. They are at numerical-noise scale, with D(EF) values of 2.806e-08, 1.070e-07, and 9.505e-09 states/eV/cell for exposed-Pb, AMP, and IDMP, respectively. The non-monotonic ordering, especially AMP &gt; exposed-Pb in the near-EF integral, means this metric is not robust enough to support a mechanistic deep-defect ranking.</w:t>
      </w:r>
    </w:p>
    <w:p>
      <w:r>
        <w:t>Conclusion for the response: use the experimental SCLC result as the quantitative evidence for reduced trap density. The computations can support the structural passivation mechanism through stable double-ended Pb-O-P anchoring, adsorption energy, local Bader/CDD, ESP, and ELF analyses, but this DOS branch is marked inconclusive for the +1.6 to +1.9 eV deep-level traps.</w:t>
      </w:r>
    </w:p>
    <w:p>
      <w:r>
        <w:rPr>
          <w:i/>
          <w:sz w:val="18"/>
        </w:rPr>
        <w:t>Table 3. DOS diagnostic for the local exposed-Pb proxy models. The EF +/- 0.1 eV columns are near-gap numerical diagnostics only. The reviewer-relevant +1.6 to +1.9 eV window is empty in these Gamma-only semilocal DOS curves, so this table is inconclusive for quantitative deep-trap suppression.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D(EF) (states/eV/cell)</w:t>
            </w:r>
          </w:p>
        </w:tc>
        <w:tc>
          <w:tcPr>
            <w:tcW w:type="dxa" w:w="1234"/>
          </w:tcPr>
          <w:p>
            <w:r>
              <w:t>Int. DOS EF +/- 0.1 eV</w:t>
            </w:r>
          </w:p>
        </w:tc>
        <w:tc>
          <w:tcPr>
            <w:tcW w:type="dxa" w:w="1234"/>
          </w:tcPr>
          <w:p>
            <w:r>
              <w:t>Int. DOS +1.6 to +1.9 eV</w:t>
            </w:r>
          </w:p>
        </w:tc>
        <w:tc>
          <w:tcPr>
            <w:tcW w:type="dxa" w:w="1234"/>
          </w:tcPr>
          <w:p>
            <w:r>
              <w:t>Max DOS +1.6 to +1.9 eV</w:t>
            </w:r>
          </w:p>
        </w:tc>
        <w:tc>
          <w:tcPr>
            <w:tcW w:type="dxa" w:w="1234"/>
          </w:tcPr>
          <w:p>
            <w:r>
              <w:t>Contact PDOS D(EF) per atom</w:t>
            </w:r>
          </w:p>
        </w:tc>
        <w:tc>
          <w:tcPr>
            <w:tcW w:type="dxa" w:w="1234"/>
          </w:tcPr>
          <w:p>
            <w:r>
              <w:t>Run directory</w:t>
            </w:r>
          </w:p>
        </w:tc>
      </w:tr>
      <w:tr>
        <w:tc>
          <w:tcPr>
            <w:tcW w:type="dxa" w:w="1234"/>
          </w:tcPr>
          <w:p>
            <w:r>
              <w:t>Exposed-Pb defect</w:t>
            </w:r>
          </w:p>
        </w:tc>
        <w:tc>
          <w:tcPr>
            <w:tcW w:type="dxa" w:w="1234"/>
          </w:tcPr>
          <w:p>
            <w:r>
              <w:t>2.806e-08</w:t>
            </w:r>
          </w:p>
        </w:tc>
        <w:tc>
          <w:tcPr>
            <w:tcW w:type="dxa" w:w="1234"/>
          </w:tcPr>
          <w:p>
            <w:r>
              <w:t>9.871e-05</w:t>
            </w:r>
          </w:p>
        </w:tc>
        <w:tc>
          <w:tcPr>
            <w:tcW w:type="dxa" w:w="1234"/>
          </w:tcPr>
          <w:p>
            <w:r>
              <w:t>0.000e+00</w:t>
            </w:r>
          </w:p>
        </w:tc>
        <w:tc>
          <w:tcPr>
            <w:tcW w:type="dxa" w:w="1234"/>
          </w:tcPr>
          <w:p>
            <w:r>
              <w:t>0.000e+00</w:t>
            </w:r>
          </w:p>
        </w:tc>
        <w:tc>
          <w:tcPr>
            <w:tcW w:type="dxa" w:w="1234"/>
          </w:tcPr>
          <w:p>
            <w:r>
              <w:t>1.110e-10</w:t>
            </w:r>
          </w:p>
        </w:tc>
        <w:tc>
          <w:tcPr>
            <w:tcW w:type="dxa" w:w="1234"/>
          </w:tcPr>
          <w:p>
            <w:r>
              <w:t>calculations/dos_deep_defects/slab_window</w:t>
            </w:r>
          </w:p>
        </w:tc>
      </w:tr>
      <w:tr>
        <w:tc>
          <w:tcPr>
            <w:tcW w:type="dxa" w:w="1234"/>
          </w:tcPr>
          <w:p>
            <w:r>
              <w:t>AMP-passivated</w:t>
            </w:r>
          </w:p>
        </w:tc>
        <w:tc>
          <w:tcPr>
            <w:tcW w:type="dxa" w:w="1234"/>
          </w:tcPr>
          <w:p>
            <w:r>
              <w:t>1.070e-07</w:t>
            </w:r>
          </w:p>
        </w:tc>
        <w:tc>
          <w:tcPr>
            <w:tcW w:type="dxa" w:w="1234"/>
          </w:tcPr>
          <w:p>
            <w:r>
              <w:t>3.094e-04</w:t>
            </w:r>
          </w:p>
        </w:tc>
        <w:tc>
          <w:tcPr>
            <w:tcW w:type="dxa" w:w="1234"/>
          </w:tcPr>
          <w:p>
            <w:r>
              <w:t>0.000e+00</w:t>
            </w:r>
          </w:p>
        </w:tc>
        <w:tc>
          <w:tcPr>
            <w:tcW w:type="dxa" w:w="1234"/>
          </w:tcPr>
          <w:p>
            <w:r>
              <w:t>0.000e+00</w:t>
            </w:r>
          </w:p>
        </w:tc>
        <w:tc>
          <w:tcPr>
            <w:tcW w:type="dxa" w:w="1234"/>
          </w:tcPr>
          <w:p>
            <w:r>
              <w:t>1.578e-10</w:t>
            </w:r>
          </w:p>
        </w:tc>
        <w:tc>
          <w:tcPr>
            <w:tcW w:type="dxa" w:w="1234"/>
          </w:tcPr>
          <w:p>
            <w:r>
              <w:t>calculations/dos_deep_defects/ads_amp_single</w:t>
            </w:r>
          </w:p>
        </w:tc>
      </w:tr>
      <w:tr>
        <w:tc>
          <w:tcPr>
            <w:tcW w:type="dxa" w:w="1234"/>
          </w:tcPr>
          <w:p>
            <w:r>
              <w:t>IDMP double-passivated</w:t>
            </w:r>
          </w:p>
        </w:tc>
        <w:tc>
          <w:tcPr>
            <w:tcW w:type="dxa" w:w="1234"/>
          </w:tcPr>
          <w:p>
            <w:r>
              <w:t>9.505e-09</w:t>
            </w:r>
          </w:p>
        </w:tc>
        <w:tc>
          <w:tcPr>
            <w:tcW w:type="dxa" w:w="1234"/>
          </w:tcPr>
          <w:p>
            <w:r>
              <w:t>8.350e-05</w:t>
            </w:r>
          </w:p>
        </w:tc>
        <w:tc>
          <w:tcPr>
            <w:tcW w:type="dxa" w:w="1234"/>
          </w:tcPr>
          <w:p>
            <w:r>
              <w:t>0.000e+00</w:t>
            </w:r>
          </w:p>
        </w:tc>
        <w:tc>
          <w:tcPr>
            <w:tcW w:type="dxa" w:w="1234"/>
          </w:tcPr>
          <w:p>
            <w:r>
              <w:t>0.000e+00</w:t>
            </w:r>
          </w:p>
        </w:tc>
        <w:tc>
          <w:tcPr>
            <w:tcW w:type="dxa" w:w="1234"/>
          </w:tcPr>
          <w:p>
            <w:r>
              <w:t>1.148e-11</w:t>
            </w:r>
          </w:p>
        </w:tc>
        <w:tc>
          <w:tcPr>
            <w:tcW w:type="dxa" w:w="1234"/>
          </w:tcPr>
          <w:p>
            <w:r>
              <w:t>calculations/dos_deep_defects/ads_idmp_double_x</w:t>
            </w:r>
          </w:p>
        </w:tc>
      </w:tr>
    </w:tbl>
    <w:p>
      <w:pPr>
        <w:jc w:val="center"/>
      </w:pPr>
      <w:r>
        <w:drawing>
          <wp:inline xmlns:a="http://schemas.openxmlformats.org/drawingml/2006/main" xmlns:pic="http://schemas.openxmlformats.org/drawingml/2006/picture">
            <wp:extent cx="5577840" cy="5229225"/>
            <wp:docPr id="5" name="Picture 5"/>
            <wp:cNvGraphicFramePr>
              <a:graphicFrameLocks noChangeAspect="1"/>
            </wp:cNvGraphicFramePr>
            <a:graphic>
              <a:graphicData uri="http://schemas.openxmlformats.org/drawingml/2006/picture">
                <pic:pic>
                  <pic:nvPicPr>
                    <pic:cNvPr id="0" name="dos_deep_defects_comparison.png"/>
                    <pic:cNvPicPr/>
                  </pic:nvPicPr>
                  <pic:blipFill>
                    <a:blip r:embed="rId13"/>
                    <a:stretch>
                      <a:fillRect/>
                    </a:stretch>
                  </pic:blipFill>
                  <pic:spPr>
                    <a:xfrm>
                      <a:off x="0" y="0"/>
                      <a:ext cx="5577840" cy="5229225"/>
                    </a:xfrm>
                    <a:prstGeom prst="rect"/>
                  </pic:spPr>
                </pic:pic>
              </a:graphicData>
            </a:graphic>
          </wp:inline>
        </w:drawing>
      </w:r>
    </w:p>
    <w:p>
      <w:r>
        <w:rPr>
          <w:i/>
          <w:sz w:val="18"/>
        </w:rPr>
        <w:t>Figure 5. Fixed-density DOS comparison for the exposed-Pb defect proxy, AMP-passivated defect, and IDMP double-passivated defect. The dashed line marks EF, the gray band marks EF +/- 0.1 eV, and the red band marks the +1.6 to +1.9 eV deep-trap window. The red window is empty in all three Gamma-only semilocal DOS curves, so this figure should not be used as quantitative evidence for deep-level trap suppression.</w:t>
      </w:r>
    </w:p>
    <w:p>
      <w:pPr>
        <w:pStyle w:val="Heading1"/>
      </w:pPr>
      <w:r>
        <w:t>Molecular Dipole ESP And ELF Analysis</w:t>
      </w:r>
    </w:p>
    <w:p>
      <w:r>
        <w:t>The manuscript's original molecular analysis was reproduced with VASP field outputs for the isolated AMP and IDMP molecules. I generated LOCPOT and ELFCAR in fixed-density runs from validated gas-phase CHGCAR/WAVECAR files, then extracted a reproducible PCA molecular-plane slice for ESP and ELF comparison.</w:t>
      </w:r>
    </w:p>
    <w:p>
      <w:r>
        <w:t>Raw LDIPOL dipole-correction lines were not used as the reported molecular dipoles because periodic dipole-correction bookkeeping produced box-dependent values. Instead, dipoles were integrated directly from the validated VASP valence CHGCAR plus the PAW valence ionic charges around the centered neutral molecule. The integrated electron counts close to the expected valence charges: 68.000000 e for IDMP and 38.000000 e for AMP.</w:t>
      </w:r>
    </w:p>
    <w:p>
      <w:r>
        <w:t>The CHGCAR-integrated dipole magnitudes are 1.861 D for IDMP and 2.515 D for AMP. IDMP shows a more negative relative ESP distribution on the molecular slice, with p05/p50/p95 = -44.91/-1.69/5.19 eV, compared with -24.43/-0.17/4.59 eV for AMP after subtracting the outer-pixel median reference.</w:t>
      </w:r>
    </w:p>
    <w:p>
      <w:r>
        <w:t>The ELF analysis is consistent with stronger localized electron-rich regions around the phosphonate-rich IDMP molecule. The fraction of the plotted molecular slice with ELF &gt; 0.80 is 0.123 for IDMP and 0.083 for AMP; the corresponding ELF p95 values are 0.936 and 0.879.</w:t>
      </w:r>
    </w:p>
    <w:p>
      <w:r>
        <w:rPr>
          <w:i/>
          <w:sz w:val="18"/>
        </w:rPr>
        <w:t>Table 4. Molecular dipole, ESP, and ELF summary. ESP is a relative LOCPOT slice with the outer-pixel median subtracted, so slice distributions and contrasts are meaningful but the absolute zero is arbitrary.</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Molecule</w:t>
            </w:r>
          </w:p>
        </w:tc>
        <w:tc>
          <w:tcPr>
            <w:tcW w:type="dxa" w:w="1080"/>
          </w:tcPr>
          <w:p>
            <w:r>
              <w:t>Dipole (D)</w:t>
            </w:r>
          </w:p>
        </w:tc>
        <w:tc>
          <w:tcPr>
            <w:tcW w:type="dxa" w:w="1080"/>
          </w:tcPr>
          <w:p>
            <w:r>
              <w:t>ESP p05 (eV)</w:t>
            </w:r>
          </w:p>
        </w:tc>
        <w:tc>
          <w:tcPr>
            <w:tcW w:type="dxa" w:w="1080"/>
          </w:tcPr>
          <w:p>
            <w:r>
              <w:t>ESP p50 (eV)</w:t>
            </w:r>
          </w:p>
        </w:tc>
        <w:tc>
          <w:tcPr>
            <w:tcW w:type="dxa" w:w="1080"/>
          </w:tcPr>
          <w:p>
            <w:r>
              <w:t>ESP p95 (eV)</w:t>
            </w:r>
          </w:p>
        </w:tc>
        <w:tc>
          <w:tcPr>
            <w:tcW w:type="dxa" w:w="1080"/>
          </w:tcPr>
          <w:p>
            <w:r>
              <w:t>ELF p95</w:t>
            </w:r>
          </w:p>
        </w:tc>
        <w:tc>
          <w:tcPr>
            <w:tcW w:type="dxa" w:w="1080"/>
          </w:tcPr>
          <w:p>
            <w:r>
              <w:t>ELF fraction &gt; 0.80</w:t>
            </w:r>
          </w:p>
        </w:tc>
        <w:tc>
          <w:tcPr>
            <w:tcW w:type="dxa" w:w="1080"/>
          </w:tcPr>
          <w:p>
            <w:r>
              <w:t>Field run directory</w:t>
            </w:r>
          </w:p>
        </w:tc>
      </w:tr>
      <w:tr>
        <w:tc>
          <w:tcPr>
            <w:tcW w:type="dxa" w:w="1080"/>
          </w:tcPr>
          <w:p>
            <w:r>
              <w:t>AMP</w:t>
            </w:r>
          </w:p>
        </w:tc>
        <w:tc>
          <w:tcPr>
            <w:tcW w:type="dxa" w:w="1080"/>
          </w:tcPr>
          <w:p>
            <w:r>
              <w:t>2.515</w:t>
            </w:r>
          </w:p>
        </w:tc>
        <w:tc>
          <w:tcPr>
            <w:tcW w:type="dxa" w:w="1080"/>
          </w:tcPr>
          <w:p>
            <w:r>
              <w:t>-24.43</w:t>
            </w:r>
          </w:p>
        </w:tc>
        <w:tc>
          <w:tcPr>
            <w:tcW w:type="dxa" w:w="1080"/>
          </w:tcPr>
          <w:p>
            <w:r>
              <w:t>-0.17</w:t>
            </w:r>
          </w:p>
        </w:tc>
        <w:tc>
          <w:tcPr>
            <w:tcW w:type="dxa" w:w="1080"/>
          </w:tcPr>
          <w:p>
            <w:r>
              <w:t>4.59</w:t>
            </w:r>
          </w:p>
        </w:tc>
        <w:tc>
          <w:tcPr>
            <w:tcW w:type="dxa" w:w="1080"/>
          </w:tcPr>
          <w:p>
            <w:r>
              <w:t>0.879</w:t>
            </w:r>
          </w:p>
        </w:tc>
        <w:tc>
          <w:tcPr>
            <w:tcW w:type="dxa" w:w="1080"/>
          </w:tcPr>
          <w:p>
            <w:r>
              <w:t>0.083</w:t>
            </w:r>
          </w:p>
        </w:tc>
        <w:tc>
          <w:tcPr>
            <w:tcW w:type="dxa" w:w="1080"/>
          </w:tcPr>
          <w:p>
            <w:r>
              <w:t>calculations/molecular_fields_fixed/gas_amp</w:t>
            </w:r>
          </w:p>
        </w:tc>
      </w:tr>
      <w:tr>
        <w:tc>
          <w:tcPr>
            <w:tcW w:type="dxa" w:w="1080"/>
          </w:tcPr>
          <w:p>
            <w:r>
              <w:t>IDMP</w:t>
            </w:r>
          </w:p>
        </w:tc>
        <w:tc>
          <w:tcPr>
            <w:tcW w:type="dxa" w:w="1080"/>
          </w:tcPr>
          <w:p>
            <w:r>
              <w:t>1.861</w:t>
            </w:r>
          </w:p>
        </w:tc>
        <w:tc>
          <w:tcPr>
            <w:tcW w:type="dxa" w:w="1080"/>
          </w:tcPr>
          <w:p>
            <w:r>
              <w:t>-44.91</w:t>
            </w:r>
          </w:p>
        </w:tc>
        <w:tc>
          <w:tcPr>
            <w:tcW w:type="dxa" w:w="1080"/>
          </w:tcPr>
          <w:p>
            <w:r>
              <w:t>-1.69</w:t>
            </w:r>
          </w:p>
        </w:tc>
        <w:tc>
          <w:tcPr>
            <w:tcW w:type="dxa" w:w="1080"/>
          </w:tcPr>
          <w:p>
            <w:r>
              <w:t>5.19</w:t>
            </w:r>
          </w:p>
        </w:tc>
        <w:tc>
          <w:tcPr>
            <w:tcW w:type="dxa" w:w="1080"/>
          </w:tcPr>
          <w:p>
            <w:r>
              <w:t>0.936</w:t>
            </w:r>
          </w:p>
        </w:tc>
        <w:tc>
          <w:tcPr>
            <w:tcW w:type="dxa" w:w="1080"/>
          </w:tcPr>
          <w:p>
            <w:r>
              <w:t>0.123</w:t>
            </w:r>
          </w:p>
        </w:tc>
        <w:tc>
          <w:tcPr>
            <w:tcW w:type="dxa" w:w="1080"/>
          </w:tcPr>
          <w:p>
            <w:r>
              <w:t>calculations/molecular_fields_fixed/gas_idmp</w:t>
            </w:r>
          </w:p>
        </w:tc>
      </w:tr>
    </w:tbl>
    <w:p>
      <w:pPr>
        <w:jc w:val="center"/>
      </w:pPr>
      <w:r>
        <w:drawing>
          <wp:inline xmlns:a="http://schemas.openxmlformats.org/drawingml/2006/main" xmlns:pic="http://schemas.openxmlformats.org/drawingml/2006/picture">
            <wp:extent cx="5669280" cy="6429237"/>
            <wp:docPr id="6" name="Picture 6"/>
            <wp:cNvGraphicFramePr>
              <a:graphicFrameLocks noChangeAspect="1"/>
            </wp:cNvGraphicFramePr>
            <a:graphic>
              <a:graphicData uri="http://schemas.openxmlformats.org/drawingml/2006/picture">
                <pic:pic>
                  <pic:nvPicPr>
                    <pic:cNvPr id="0" name="molecular_esp_elf_maps.png"/>
                    <pic:cNvPicPr/>
                  </pic:nvPicPr>
                  <pic:blipFill>
                    <a:blip r:embed="rId14"/>
                    <a:stretch>
                      <a:fillRect/>
                    </a:stretch>
                  </pic:blipFill>
                  <pic:spPr>
                    <a:xfrm>
                      <a:off x="0" y="0"/>
                      <a:ext cx="5669280" cy="6429237"/>
                    </a:xfrm>
                    <a:prstGeom prst="rect"/>
                  </pic:spPr>
                </pic:pic>
              </a:graphicData>
            </a:graphic>
          </wp:inline>
        </w:drawing>
      </w:r>
    </w:p>
    <w:p>
      <w:r>
        <w:rPr>
          <w:i/>
          <w:sz w:val="18"/>
        </w:rPr>
        <w:t>Figure 6. Reproduced molecular electrostatic-potential and ELF maps for AMP and IDMP. ESP panels show the relative LOCPOT on a PCA molecular-plane slice; ELF panels use the same molecular slice and color scale.</w:t>
      </w:r>
    </w:p>
    <w:p>
      <w:pPr>
        <w:pStyle w:val="Heading1"/>
      </w:pPr>
      <w:r>
        <w:t>Reviewer 3 Comment 6</w:t>
      </w:r>
    </w:p>
    <w:p>
      <w:r>
        <w:t>Reviewer comment: "There are some format issues need to be addressed. For instance, the calculation of charge density, the author should provide the coordinate axes and mark the elements represented by each color."</w:t>
      </w:r>
    </w:p>
    <w:p>
      <w:r>
        <w:t>The revised computational figures should include axes and element/color definitions directly on the figure. I generated three forms of charge evidence from validated static calculations: Bader charge-colored side views, static valence charge-density slices through the Pb-O-P coordination plane, and frozen-fragment charge-density-difference slices/planar averages. All figure types include coordinate axes and atom/element labels.</w:t>
      </w:r>
    </w:p>
    <w:p>
      <w:r>
        <w:t>Bader analysis used AECCAR0 + AECCAR2 as the reference density, not the valence CHGCAR alone. The IDMP double-ended contact atoms have polar Pb-O charge character: Pb33 +1.125 e / O111 -1.372 e and Pb35 +0.937 e / O112 -1.169 e. These values support local Pb-O coordination but are not promoted to formal oxidation states.</w:t>
      </w:r>
    </w:p>
    <w:p>
      <w:r>
        <w:t>I also calculated total Bader charge transfer by summing every atom in the adsorbate and every atom in the perovskite slab. For the IDMP double-ended model, the adsorbate partition carries q = -1.061 e and the slab carries q = +1.061 e, with a closure error of 5.000e-06 e. This large whole-fragment value is retained as a Bader partition sum only; for a neutral-molecule dative interaction it should not be interpreted as a literal one-electron transfer, near-covalent charge transfer, or standalone proof of stronger binding. The AMP control gives q_ads = -0.688 e and q_slab = +0.688 e under the same partition.</w:t>
      </w:r>
    </w:p>
    <w:p>
      <w:r>
        <w:t>Charge-density difference was evaluated as Delta rho = rho(combined adsorbate/slab) - rho(frozen slab fragment) - rho(frozen ligand fragment). The CPU CDD results show a larger robust charge-redistribution magnitude for double-ended IDMP than for AMP: the absolute 99th percentile is 50.25 versus 26.62 grid units, and the absolute 99.5th percentile is 89.72 versus 48.30 grid units.</w:t>
      </w:r>
    </w:p>
    <w:p>
      <w:r>
        <w:rPr>
          <w:i/>
          <w:sz w:val="18"/>
        </w:rPr>
        <w:t>Table 5. Bader net charges for Pb-O contact atoms. q = ZVAL - N_Bader; positive values indicate electron depletion relative to the PAW valence count. These are local charge descriptors, not formal oxidation states.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Contact</w:t>
            </w:r>
          </w:p>
        </w:tc>
        <w:tc>
          <w:tcPr>
            <w:tcW w:type="dxa" w:w="1234"/>
          </w:tcPr>
          <w:p>
            <w:r>
              <w:t>Distance (A)</w:t>
            </w:r>
          </w:p>
        </w:tc>
        <w:tc>
          <w:tcPr>
            <w:tcW w:type="dxa" w:w="1234"/>
          </w:tcPr>
          <w:p>
            <w:r>
              <w:t>q(Pb) (e)</w:t>
            </w:r>
          </w:p>
        </w:tc>
        <w:tc>
          <w:tcPr>
            <w:tcW w:type="dxa" w:w="1234"/>
          </w:tcPr>
          <w:p>
            <w:r>
              <w:t>q(O) (e)</w:t>
            </w:r>
          </w:p>
        </w:tc>
        <w:tc>
          <w:tcPr>
            <w:tcW w:type="dxa" w:w="1234"/>
          </w:tcPr>
          <w:p>
            <w:r>
              <w:t>P center</w:t>
            </w:r>
          </w:p>
        </w:tc>
        <w:tc>
          <w:tcPr>
            <w:tcW w:type="dxa" w:w="1234"/>
          </w:tcPr>
          <w:p>
            <w:r>
              <w:t>q(P) (e)</w:t>
            </w:r>
          </w:p>
        </w:tc>
      </w:tr>
      <w:tr>
        <w:tc>
          <w:tcPr>
            <w:tcW w:type="dxa" w:w="1234"/>
          </w:tcPr>
          <w:p>
            <w:r>
              <w:t>ads_idmp_double_x</w:t>
            </w:r>
          </w:p>
        </w:tc>
        <w:tc>
          <w:tcPr>
            <w:tcW w:type="dxa" w:w="1234"/>
          </w:tcPr>
          <w:p>
            <w:r>
              <w:t>Pb33-O111</w:t>
            </w:r>
          </w:p>
        </w:tc>
        <w:tc>
          <w:tcPr>
            <w:tcW w:type="dxa" w:w="1234"/>
          </w:tcPr>
          <w:p>
            <w:r>
              <w:t>2.557</w:t>
            </w:r>
          </w:p>
        </w:tc>
        <w:tc>
          <w:tcPr>
            <w:tcW w:type="dxa" w:w="1234"/>
          </w:tcPr>
          <w:p>
            <w:r>
              <w:t>+1.125</w:t>
            </w:r>
          </w:p>
        </w:tc>
        <w:tc>
          <w:tcPr>
            <w:tcW w:type="dxa" w:w="1234"/>
          </w:tcPr>
          <w:p>
            <w:r>
              <w:t>-1.372</w:t>
            </w:r>
          </w:p>
        </w:tc>
        <w:tc>
          <w:tcPr>
            <w:tcW w:type="dxa" w:w="1234"/>
          </w:tcPr>
          <w:p>
            <w:r>
              <w:t>P105</w:t>
            </w:r>
          </w:p>
        </w:tc>
        <w:tc>
          <w:tcPr>
            <w:tcW w:type="dxa" w:w="1234"/>
          </w:tcPr>
          <w:p>
            <w:r>
              <w:t>+3.214</w:t>
            </w:r>
          </w:p>
        </w:tc>
      </w:tr>
      <w:tr>
        <w:tc>
          <w:tcPr>
            <w:tcW w:type="dxa" w:w="1234"/>
          </w:tcPr>
          <w:p>
            <w:r>
              <w:t>ads_idmp_double_x</w:t>
            </w:r>
          </w:p>
        </w:tc>
        <w:tc>
          <w:tcPr>
            <w:tcW w:type="dxa" w:w="1234"/>
          </w:tcPr>
          <w:p>
            <w:r>
              <w:t>Pb35-O112</w:t>
            </w:r>
          </w:p>
        </w:tc>
        <w:tc>
          <w:tcPr>
            <w:tcW w:type="dxa" w:w="1234"/>
          </w:tcPr>
          <w:p>
            <w:r>
              <w:t>2.558</w:t>
            </w:r>
          </w:p>
        </w:tc>
        <w:tc>
          <w:tcPr>
            <w:tcW w:type="dxa" w:w="1234"/>
          </w:tcPr>
          <w:p>
            <w:r>
              <w:t>+0.937</w:t>
            </w:r>
          </w:p>
        </w:tc>
        <w:tc>
          <w:tcPr>
            <w:tcW w:type="dxa" w:w="1234"/>
          </w:tcPr>
          <w:p>
            <w:r>
              <w:t>-1.169</w:t>
            </w:r>
          </w:p>
        </w:tc>
        <w:tc>
          <w:tcPr>
            <w:tcW w:type="dxa" w:w="1234"/>
          </w:tcPr>
          <w:p>
            <w:r>
              <w:t>P106</w:t>
            </w:r>
          </w:p>
        </w:tc>
        <w:tc>
          <w:tcPr>
            <w:tcW w:type="dxa" w:w="1234"/>
          </w:tcPr>
          <w:p>
            <w:r>
              <w:t>+2.593</w:t>
            </w:r>
          </w:p>
        </w:tc>
      </w:tr>
      <w:tr>
        <w:tc>
          <w:tcPr>
            <w:tcW w:type="dxa" w:w="1234"/>
          </w:tcPr>
          <w:p>
            <w:r>
              <w:t>ads_idmp_single</w:t>
            </w:r>
          </w:p>
        </w:tc>
        <w:tc>
          <w:tcPr>
            <w:tcW w:type="dxa" w:w="1234"/>
          </w:tcPr>
          <w:p>
            <w:r>
              <w:t>Pb33-O111</w:t>
            </w:r>
          </w:p>
        </w:tc>
        <w:tc>
          <w:tcPr>
            <w:tcW w:type="dxa" w:w="1234"/>
          </w:tcPr>
          <w:p>
            <w:r>
              <w:t>2.471</w:t>
            </w:r>
          </w:p>
        </w:tc>
        <w:tc>
          <w:tcPr>
            <w:tcW w:type="dxa" w:w="1234"/>
          </w:tcPr>
          <w:p>
            <w:r>
              <w:t>+1.152</w:t>
            </w:r>
          </w:p>
        </w:tc>
        <w:tc>
          <w:tcPr>
            <w:tcW w:type="dxa" w:w="1234"/>
          </w:tcPr>
          <w:p>
            <w:r>
              <w:t>-1.335</w:t>
            </w:r>
          </w:p>
        </w:tc>
        <w:tc>
          <w:tcPr>
            <w:tcW w:type="dxa" w:w="1234"/>
          </w:tcPr>
          <w:p>
            <w:r>
              <w:t>P105</w:t>
            </w:r>
          </w:p>
        </w:tc>
        <w:tc>
          <w:tcPr>
            <w:tcW w:type="dxa" w:w="1234"/>
          </w:tcPr>
          <w:p>
            <w:r>
              <w:t>+2.606</w:t>
            </w:r>
          </w:p>
        </w:tc>
      </w:tr>
      <w:tr>
        <w:tc>
          <w:tcPr>
            <w:tcW w:type="dxa" w:w="1234"/>
          </w:tcPr>
          <w:p>
            <w:r>
              <w:t>ads_idmp_single</w:t>
            </w:r>
          </w:p>
        </w:tc>
        <w:tc>
          <w:tcPr>
            <w:tcW w:type="dxa" w:w="1234"/>
          </w:tcPr>
          <w:p>
            <w:r>
              <w:t>Pb35-O110</w:t>
            </w:r>
          </w:p>
        </w:tc>
        <w:tc>
          <w:tcPr>
            <w:tcW w:type="dxa" w:w="1234"/>
          </w:tcPr>
          <w:p>
            <w:r>
              <w:t>2.882</w:t>
            </w:r>
          </w:p>
        </w:tc>
        <w:tc>
          <w:tcPr>
            <w:tcW w:type="dxa" w:w="1234"/>
          </w:tcPr>
          <w:p>
            <w:r>
              <w:t>+0.645</w:t>
            </w:r>
          </w:p>
        </w:tc>
        <w:tc>
          <w:tcPr>
            <w:tcW w:type="dxa" w:w="1234"/>
          </w:tcPr>
          <w:p>
            <w:r>
              <w:t>-1.236</w:t>
            </w:r>
          </w:p>
        </w:tc>
        <w:tc>
          <w:tcPr>
            <w:tcW w:type="dxa" w:w="1234"/>
          </w:tcPr>
          <w:p>
            <w:r>
              <w:t>P106</w:t>
            </w:r>
          </w:p>
        </w:tc>
        <w:tc>
          <w:tcPr>
            <w:tcW w:type="dxa" w:w="1234"/>
          </w:tcPr>
          <w:p>
            <w:r>
              <w:t>+2.946</w:t>
            </w:r>
          </w:p>
        </w:tc>
      </w:tr>
      <w:tr>
        <w:tc>
          <w:tcPr>
            <w:tcW w:type="dxa" w:w="1234"/>
          </w:tcPr>
          <w:p>
            <w:r>
              <w:t>ads_amp_single</w:t>
            </w:r>
          </w:p>
        </w:tc>
        <w:tc>
          <w:tcPr>
            <w:tcW w:type="dxa" w:w="1234"/>
          </w:tcPr>
          <w:p>
            <w:r>
              <w:t>Pb33-O108</w:t>
            </w:r>
          </w:p>
        </w:tc>
        <w:tc>
          <w:tcPr>
            <w:tcW w:type="dxa" w:w="1234"/>
          </w:tcPr>
          <w:p>
            <w:r>
              <w:t>2.573</w:t>
            </w:r>
          </w:p>
        </w:tc>
        <w:tc>
          <w:tcPr>
            <w:tcW w:type="dxa" w:w="1234"/>
          </w:tcPr>
          <w:p>
            <w:r>
              <w:t>+1.044</w:t>
            </w:r>
          </w:p>
        </w:tc>
        <w:tc>
          <w:tcPr>
            <w:tcW w:type="dxa" w:w="1234"/>
          </w:tcPr>
          <w:p>
            <w:r>
              <w:t>-1.203</w:t>
            </w:r>
          </w:p>
        </w:tc>
        <w:tc>
          <w:tcPr>
            <w:tcW w:type="dxa" w:w="1234"/>
          </w:tcPr>
          <w:p>
            <w:r>
              <w:t>P105</w:t>
            </w:r>
          </w:p>
        </w:tc>
        <w:tc>
          <w:tcPr>
            <w:tcW w:type="dxa" w:w="1234"/>
          </w:tcPr>
          <w:p>
            <w:r>
              <w:t>+2.401</w:t>
            </w:r>
          </w:p>
        </w:tc>
      </w:tr>
    </w:tbl>
    <w:p>
      <w:r>
        <w:rPr>
          <w:i/>
          <w:sz w:val="18"/>
        </w:rPr>
        <w:t>Table 6. Total Bader charge transfer by full slab and adsorbate partitions. q = ZVAL - N_Bader; negative adsorbate q means the ligand partition gained electron density relative to the neutral PAW valence count. The approximately 1 e IDMP value is large for a neutral dative interaction and is reported only as a model-dependent Bader partition sum, not as a literal electron-transfer amount, covalency measure, or formal oxidation-state assignment.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Adsorbate atoms</w:t>
            </w:r>
          </w:p>
        </w:tc>
        <w:tc>
          <w:tcPr>
            <w:tcW w:type="dxa" w:w="1440"/>
          </w:tcPr>
          <w:p>
            <w:r>
              <w:t>q(adsorbate) (e)</w:t>
            </w:r>
          </w:p>
        </w:tc>
        <w:tc>
          <w:tcPr>
            <w:tcW w:type="dxa" w:w="1440"/>
          </w:tcPr>
          <w:p>
            <w:r>
              <w:t>q(slab) (e)</w:t>
            </w:r>
          </w:p>
        </w:tc>
        <w:tc>
          <w:tcPr>
            <w:tcW w:type="dxa" w:w="1440"/>
          </w:tcPr>
          <w:p>
            <w:r>
              <w:t>Net transfer descriptor</w:t>
            </w:r>
          </w:p>
        </w:tc>
        <w:tc>
          <w:tcPr>
            <w:tcW w:type="dxa" w:w="1440"/>
          </w:tcPr>
          <w:p>
            <w:r>
              <w:t>Closure error (e)</w:t>
            </w:r>
          </w:p>
        </w:tc>
      </w:tr>
      <w:tr>
        <w:tc>
          <w:tcPr>
            <w:tcW w:type="dxa" w:w="1440"/>
          </w:tcPr>
          <w:p>
            <w:r>
              <w:t>ads_idmp_double_x</w:t>
            </w:r>
          </w:p>
        </w:tc>
        <w:tc>
          <w:tcPr>
            <w:tcW w:type="dxa" w:w="1440"/>
          </w:tcPr>
          <w:p>
            <w:r>
              <w:t>105-124</w:t>
            </w:r>
          </w:p>
        </w:tc>
        <w:tc>
          <w:tcPr>
            <w:tcW w:type="dxa" w:w="1440"/>
          </w:tcPr>
          <w:p>
            <w:r>
              <w:t>-1.061</w:t>
            </w:r>
          </w:p>
        </w:tc>
        <w:tc>
          <w:tcPr>
            <w:tcW w:type="dxa" w:w="1440"/>
          </w:tcPr>
          <w:p>
            <w:r>
              <w:t>+1.061</w:t>
            </w:r>
          </w:p>
        </w:tc>
        <w:tc>
          <w:tcPr>
            <w:tcW w:type="dxa" w:w="1440"/>
          </w:tcPr>
          <w:p>
            <w:r>
              <w:t>1.061 e adsorbate-side accumulation (partition)</w:t>
            </w:r>
          </w:p>
        </w:tc>
        <w:tc>
          <w:tcPr>
            <w:tcW w:type="dxa" w:w="1440"/>
          </w:tcPr>
          <w:p>
            <w:r>
              <w:t>5.000e-06</w:t>
            </w:r>
          </w:p>
        </w:tc>
      </w:tr>
      <w:tr>
        <w:tc>
          <w:tcPr>
            <w:tcW w:type="dxa" w:w="1440"/>
          </w:tcPr>
          <w:p>
            <w:r>
              <w:t>ads_idmp_single</w:t>
            </w:r>
          </w:p>
        </w:tc>
        <w:tc>
          <w:tcPr>
            <w:tcW w:type="dxa" w:w="1440"/>
          </w:tcPr>
          <w:p>
            <w:r>
              <w:t>105-124</w:t>
            </w:r>
          </w:p>
        </w:tc>
        <w:tc>
          <w:tcPr>
            <w:tcW w:type="dxa" w:w="1440"/>
          </w:tcPr>
          <w:p>
            <w:r>
              <w:t>-0.606</w:t>
            </w:r>
          </w:p>
        </w:tc>
        <w:tc>
          <w:tcPr>
            <w:tcW w:type="dxa" w:w="1440"/>
          </w:tcPr>
          <w:p>
            <w:r>
              <w:t>+0.606</w:t>
            </w:r>
          </w:p>
        </w:tc>
        <w:tc>
          <w:tcPr>
            <w:tcW w:type="dxa" w:w="1440"/>
          </w:tcPr>
          <w:p>
            <w:r>
              <w:t>0.606 e adsorbate-side accumulation (partition)</w:t>
            </w:r>
          </w:p>
        </w:tc>
        <w:tc>
          <w:tcPr>
            <w:tcW w:type="dxa" w:w="1440"/>
          </w:tcPr>
          <w:p>
            <w:r>
              <w:t>3.775e-15</w:t>
            </w:r>
          </w:p>
        </w:tc>
      </w:tr>
      <w:tr>
        <w:tc>
          <w:tcPr>
            <w:tcW w:type="dxa" w:w="1440"/>
          </w:tcPr>
          <w:p>
            <w:r>
              <w:t>ads_amp_single</w:t>
            </w:r>
          </w:p>
        </w:tc>
        <w:tc>
          <w:tcPr>
            <w:tcW w:type="dxa" w:w="1440"/>
          </w:tcPr>
          <w:p>
            <w:r>
              <w:t>105-116</w:t>
            </w:r>
          </w:p>
        </w:tc>
        <w:tc>
          <w:tcPr>
            <w:tcW w:type="dxa" w:w="1440"/>
          </w:tcPr>
          <w:p>
            <w:r>
              <w:t>-0.688</w:t>
            </w:r>
          </w:p>
        </w:tc>
        <w:tc>
          <w:tcPr>
            <w:tcW w:type="dxa" w:w="1440"/>
          </w:tcPr>
          <w:p>
            <w:r>
              <w:t>+0.688</w:t>
            </w:r>
          </w:p>
        </w:tc>
        <w:tc>
          <w:tcPr>
            <w:tcW w:type="dxa" w:w="1440"/>
          </w:tcPr>
          <w:p>
            <w:r>
              <w:t>0.688 e adsorbate-side accumulation (partition)</w:t>
            </w:r>
          </w:p>
        </w:tc>
        <w:tc>
          <w:tcPr>
            <w:tcW w:type="dxa" w:w="1440"/>
          </w:tcPr>
          <w:p>
            <w:r>
              <w:t>-2.000e-06</w:t>
            </w:r>
          </w:p>
        </w:tc>
      </w:tr>
    </w:tbl>
    <w:p>
      <w:r>
        <w:rPr>
          <w:i/>
          <w:sz w:val="18"/>
        </w:rPr>
        <w:t>Table 7. CPU frozen-fragment charge-density-difference summary. Delta rho is reported in CHGCAR grid units; positive values indicate accumulation in the combined interface relative to the frozen fragments.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Grid</w:t>
            </w:r>
          </w:p>
        </w:tc>
        <w:tc>
          <w:tcPr>
            <w:tcW w:type="dxa" w:w="1080"/>
          </w:tcPr>
          <w:p>
            <w:r>
              <w:t>Min</w:t>
            </w:r>
          </w:p>
        </w:tc>
        <w:tc>
          <w:tcPr>
            <w:tcW w:type="dxa" w:w="1080"/>
          </w:tcPr>
          <w:p>
            <w:r>
              <w:t>Max</w:t>
            </w:r>
          </w:p>
        </w:tc>
        <w:tc>
          <w:tcPr>
            <w:tcW w:type="dxa" w:w="1080"/>
          </w:tcPr>
          <w:p>
            <w:r>
              <w:t>|Delta rho| p99</w:t>
            </w:r>
          </w:p>
        </w:tc>
        <w:tc>
          <w:tcPr>
            <w:tcW w:type="dxa" w:w="1080"/>
          </w:tcPr>
          <w:p>
            <w:r>
              <w:t>|Delta rho| p99.5</w:t>
            </w:r>
          </w:p>
        </w:tc>
        <w:tc>
          <w:tcPr>
            <w:tcW w:type="dxa" w:w="1080"/>
          </w:tcPr>
          <w:p>
            <w:r>
              <w:t>Slice atoms</w:t>
            </w:r>
          </w:p>
        </w:tc>
        <w:tc>
          <w:tcPr>
            <w:tcW w:type="dxa" w:w="1080"/>
          </w:tcPr>
          <w:p>
            <w:r>
              <w:t>Slice vmax</w:t>
            </w:r>
          </w:p>
        </w:tc>
      </w:tr>
      <w:tr>
        <w:tc>
          <w:tcPr>
            <w:tcW w:type="dxa" w:w="1080"/>
          </w:tcPr>
          <w:p>
            <w:r>
              <w:t>ads_idmp_double_x</w:t>
            </w:r>
          </w:p>
        </w:tc>
        <w:tc>
          <w:tcPr>
            <w:tcW w:type="dxa" w:w="1080"/>
          </w:tcPr>
          <w:p>
            <w:r>
              <w:t>280x280x448</w:t>
            </w:r>
          </w:p>
        </w:tc>
        <w:tc>
          <w:tcPr>
            <w:tcW w:type="dxa" w:w="1080"/>
          </w:tcPr>
          <w:p>
            <w:r>
              <w:t>-1145.4</w:t>
            </w:r>
          </w:p>
        </w:tc>
        <w:tc>
          <w:tcPr>
            <w:tcW w:type="dxa" w:w="1080"/>
          </w:tcPr>
          <w:p>
            <w:r>
              <w:t>2224.3</w:t>
            </w:r>
          </w:p>
        </w:tc>
        <w:tc>
          <w:tcPr>
            <w:tcW w:type="dxa" w:w="1080"/>
          </w:tcPr>
          <w:p>
            <w:r>
              <w:t>50.25</w:t>
            </w:r>
          </w:p>
        </w:tc>
        <w:tc>
          <w:tcPr>
            <w:tcW w:type="dxa" w:w="1080"/>
          </w:tcPr>
          <w:p>
            <w:r>
              <w:t>89.72</w:t>
            </w:r>
          </w:p>
        </w:tc>
        <w:tc>
          <w:tcPr>
            <w:tcW w:type="dxa" w:w="1080"/>
          </w:tcPr>
          <w:p>
            <w:r>
              <w:t>33-111-105</w:t>
            </w:r>
          </w:p>
        </w:tc>
        <w:tc>
          <w:tcPr>
            <w:tcW w:type="dxa" w:w="1080"/>
          </w:tcPr>
          <w:p>
            <w:r>
              <w:t>319.6</w:t>
            </w:r>
          </w:p>
        </w:tc>
      </w:tr>
      <w:tr>
        <w:tc>
          <w:tcPr>
            <w:tcW w:type="dxa" w:w="1080"/>
          </w:tcPr>
          <w:p>
            <w:r>
              <w:t>ads_amp_single</w:t>
            </w:r>
          </w:p>
        </w:tc>
        <w:tc>
          <w:tcPr>
            <w:tcW w:type="dxa" w:w="1080"/>
          </w:tcPr>
          <w:p>
            <w:r>
              <w:t>280x280x448</w:t>
            </w:r>
          </w:p>
        </w:tc>
        <w:tc>
          <w:tcPr>
            <w:tcW w:type="dxa" w:w="1080"/>
          </w:tcPr>
          <w:p>
            <w:r>
              <w:t>-943.4</w:t>
            </w:r>
          </w:p>
        </w:tc>
        <w:tc>
          <w:tcPr>
            <w:tcW w:type="dxa" w:w="1080"/>
          </w:tcPr>
          <w:p>
            <w:r>
              <w:t>2135.2</w:t>
            </w:r>
          </w:p>
        </w:tc>
        <w:tc>
          <w:tcPr>
            <w:tcW w:type="dxa" w:w="1080"/>
          </w:tcPr>
          <w:p>
            <w:r>
              <w:t>26.62</w:t>
            </w:r>
          </w:p>
        </w:tc>
        <w:tc>
          <w:tcPr>
            <w:tcW w:type="dxa" w:w="1080"/>
          </w:tcPr>
          <w:p>
            <w:r>
              <w:t>48.30</w:t>
            </w:r>
          </w:p>
        </w:tc>
        <w:tc>
          <w:tcPr>
            <w:tcW w:type="dxa" w:w="1080"/>
          </w:tcPr>
          <w:p>
            <w:r>
              <w:t>33-108-105</w:t>
            </w:r>
          </w:p>
        </w:tc>
        <w:tc>
          <w:tcPr>
            <w:tcW w:type="dxa" w:w="1080"/>
          </w:tcPr>
          <w:p>
            <w:r>
              <w:t>263.6</w:t>
            </w:r>
          </w:p>
        </w:tc>
      </w:tr>
    </w:tbl>
    <w:p>
      <w:pPr>
        <w:jc w:val="center"/>
      </w:pPr>
      <w:r>
        <w:drawing>
          <wp:inline xmlns:a="http://schemas.openxmlformats.org/drawingml/2006/main" xmlns:pic="http://schemas.openxmlformats.org/drawingml/2006/picture">
            <wp:extent cx="5852160" cy="2287356"/>
            <wp:docPr id="7" name="Picture 7"/>
            <wp:cNvGraphicFramePr>
              <a:graphicFrameLocks noChangeAspect="1"/>
            </wp:cNvGraphicFramePr>
            <a:graphic>
              <a:graphicData uri="http://schemas.openxmlformats.org/drawingml/2006/picture">
                <pic:pic>
                  <pic:nvPicPr>
                    <pic:cNvPr id="0" name="ads_idmp_double_x_bader_charge_panel.png"/>
                    <pic:cNvPicPr/>
                  </pic:nvPicPr>
                  <pic:blipFill>
                    <a:blip r:embed="rId15"/>
                    <a:stretch>
                      <a:fillRect/>
                    </a:stretch>
                  </pic:blipFill>
                  <pic:spPr>
                    <a:xfrm>
                      <a:off x="0" y="0"/>
                      <a:ext cx="5852160" cy="2287356"/>
                    </a:xfrm>
                    <a:prstGeom prst="rect"/>
                  </pic:spPr>
                </pic:pic>
              </a:graphicData>
            </a:graphic>
          </wp:inline>
        </w:drawing>
      </w:r>
    </w:p>
    <w:p>
      <w:r>
        <w:rPr>
          <w:i/>
          <w:sz w:val="18"/>
        </w:rPr>
        <w:t>Figure 7. IDMP double-ended Bader charge visualization. (a) Element-colored side view; (b) same side view colored by Bader net charge, with colorbar and labeled Pb/O atoms. Source: work/calculations/static/ads_idmp_double_x.</w:t>
      </w:r>
    </w:p>
    <w:p>
      <w:pPr>
        <w:jc w:val="center"/>
      </w:pPr>
      <w:r>
        <w:drawing>
          <wp:inline xmlns:a="http://schemas.openxmlformats.org/drawingml/2006/main" xmlns:pic="http://schemas.openxmlformats.org/drawingml/2006/picture">
            <wp:extent cx="5852160" cy="2309231"/>
            <wp:docPr id="8" name="Picture 8"/>
            <wp:cNvGraphicFramePr>
              <a:graphicFrameLocks noChangeAspect="1"/>
            </wp:cNvGraphicFramePr>
            <a:graphic>
              <a:graphicData uri="http://schemas.openxmlformats.org/drawingml/2006/picture">
                <pic:pic>
                  <pic:nvPicPr>
                    <pic:cNvPr id="0" name="ads_amp_single_bader_charge_panel.png"/>
                    <pic:cNvPicPr/>
                  </pic:nvPicPr>
                  <pic:blipFill>
                    <a:blip r:embed="rId16"/>
                    <a:stretch>
                      <a:fillRect/>
                    </a:stretch>
                  </pic:blipFill>
                  <pic:spPr>
                    <a:xfrm>
                      <a:off x="0" y="0"/>
                      <a:ext cx="5852160" cy="2309231"/>
                    </a:xfrm>
                    <a:prstGeom prst="rect"/>
                  </pic:spPr>
                </pic:pic>
              </a:graphicData>
            </a:graphic>
          </wp:inline>
        </w:drawing>
      </w:r>
    </w:p>
    <w:p>
      <w:r>
        <w:rPr>
          <w:i/>
          <w:sz w:val="18"/>
        </w:rPr>
        <w:t>Figure 8. AMP control Bader charge visualization. (a) Element-colored side view; (b) same side view colored by Bader net charge. Source: work/calculations/static/ads_amp_single.</w:t>
      </w:r>
    </w:p>
    <w:p>
      <w:pPr>
        <w:jc w:val="center"/>
      </w:pPr>
      <w:r>
        <w:drawing>
          <wp:inline xmlns:a="http://schemas.openxmlformats.org/drawingml/2006/main" xmlns:pic="http://schemas.openxmlformats.org/drawingml/2006/picture">
            <wp:extent cx="5212080" cy="4456167"/>
            <wp:docPr id="9" name="Picture 9"/>
            <wp:cNvGraphicFramePr>
              <a:graphicFrameLocks noChangeAspect="1"/>
            </wp:cNvGraphicFramePr>
            <a:graphic>
              <a:graphicData uri="http://schemas.openxmlformats.org/drawingml/2006/picture">
                <pic:pic>
                  <pic:nvPicPr>
                    <pic:cNvPr id="0" name="ads_idmp_double_x_charge_density_slice.png"/>
                    <pic:cNvPicPr/>
                  </pic:nvPicPr>
                  <pic:blipFill>
                    <a:blip r:embed="rId17"/>
                    <a:stretch>
                      <a:fillRect/>
                    </a:stretch>
                  </pic:blipFill>
                  <pic:spPr>
                    <a:xfrm>
                      <a:off x="0" y="0"/>
                      <a:ext cx="5212080" cy="4456167"/>
                    </a:xfrm>
                    <a:prstGeom prst="rect"/>
                  </pic:spPr>
                </pic:pic>
              </a:graphicData>
            </a:graphic>
          </wp:inline>
        </w:drawing>
      </w:r>
    </w:p>
    <w:p>
      <w:r>
        <w:rPr>
          <w:i/>
          <w:sz w:val="18"/>
        </w:rPr>
        <w:t>Figure 9. Static valence charge-density slice for IDMP through atoms Pb33, O111, and P105. Slice-coordinate axes, atom labels, element-color markers, and CHGCAR grid-units colorbar are shown. Source: work/calculations/static/ads_idmp_double_x/CHGCAR.</w:t>
      </w:r>
    </w:p>
    <w:p>
      <w:pPr>
        <w:jc w:val="center"/>
      </w:pPr>
      <w:r>
        <w:drawing>
          <wp:inline xmlns:a="http://schemas.openxmlformats.org/drawingml/2006/main" xmlns:pic="http://schemas.openxmlformats.org/drawingml/2006/picture">
            <wp:extent cx="5212080" cy="4456167"/>
            <wp:docPr id="10" name="Picture 10"/>
            <wp:cNvGraphicFramePr>
              <a:graphicFrameLocks noChangeAspect="1"/>
            </wp:cNvGraphicFramePr>
            <a:graphic>
              <a:graphicData uri="http://schemas.openxmlformats.org/drawingml/2006/picture">
                <pic:pic>
                  <pic:nvPicPr>
                    <pic:cNvPr id="0" name="ads_amp_single_charge_density_slice.png"/>
                    <pic:cNvPicPr/>
                  </pic:nvPicPr>
                  <pic:blipFill>
                    <a:blip r:embed="rId18"/>
                    <a:stretch>
                      <a:fillRect/>
                    </a:stretch>
                  </pic:blipFill>
                  <pic:spPr>
                    <a:xfrm>
                      <a:off x="0" y="0"/>
                      <a:ext cx="5212080" cy="4456167"/>
                    </a:xfrm>
                    <a:prstGeom prst="rect"/>
                  </pic:spPr>
                </pic:pic>
              </a:graphicData>
            </a:graphic>
          </wp:inline>
        </w:drawing>
      </w:r>
    </w:p>
    <w:p>
      <w:r>
        <w:rPr>
          <w:i/>
          <w:sz w:val="18"/>
        </w:rPr>
        <w:t>Figure 10. Static valence charge-density slice for AMP through atoms Pb33, O108, and P105. The panel includes coordinate axes and atom-color legend as requested by the reviewer. Source: work/calculations/static/ads_amp_single/CHGCAR.</w:t>
      </w:r>
    </w:p>
    <w:p>
      <w:pPr>
        <w:jc w:val="center"/>
      </w:pPr>
      <w:r>
        <w:drawing>
          <wp:inline xmlns:a="http://schemas.openxmlformats.org/drawingml/2006/main" xmlns:pic="http://schemas.openxmlformats.org/drawingml/2006/picture">
            <wp:extent cx="5303520" cy="3060490"/>
            <wp:docPr id="11" name="Picture 11"/>
            <wp:cNvGraphicFramePr>
              <a:graphicFrameLocks noChangeAspect="1"/>
            </wp:cNvGraphicFramePr>
            <a:graphic>
              <a:graphicData uri="http://schemas.openxmlformats.org/drawingml/2006/picture">
                <pic:pic>
                  <pic:nvPicPr>
                    <pic:cNvPr id="0" name="charge_difference_planar_average.png"/>
                    <pic:cNvPicPr/>
                  </pic:nvPicPr>
                  <pic:blipFill>
                    <a:blip r:embed="rId19"/>
                    <a:stretch>
                      <a:fillRect/>
                    </a:stretch>
                  </pic:blipFill>
                  <pic:spPr>
                    <a:xfrm>
                      <a:off x="0" y="0"/>
                      <a:ext cx="5303520" cy="3060490"/>
                    </a:xfrm>
                    <a:prstGeom prst="rect"/>
                  </pic:spPr>
                </pic:pic>
              </a:graphicData>
            </a:graphic>
          </wp:inline>
        </w:drawing>
      </w:r>
    </w:p>
    <w:p>
      <w:r>
        <w:rPr>
          <w:i/>
          <w:sz w:val="18"/>
        </w:rPr>
        <w:t>Figure 11. Planar average of frozen-fragment charge-density difference along the slab-normal direction. Delta rho = rho(combined) - rho(frozen slab fragment) - rho(frozen ligand fragment). Source: work/calculations/charge_density_difference_cpu/*/planar_average_z.csv.</w:t>
      </w:r>
    </w:p>
    <w:p>
      <w:pPr>
        <w:jc w:val="center"/>
      </w:pPr>
      <w:r>
        <w:drawing>
          <wp:inline xmlns:a="http://schemas.openxmlformats.org/drawingml/2006/main" xmlns:pic="http://schemas.openxmlformats.org/drawingml/2006/picture">
            <wp:extent cx="5212080" cy="4506831"/>
            <wp:docPr id="12" name="Picture 12"/>
            <wp:cNvGraphicFramePr>
              <a:graphicFrameLocks noChangeAspect="1"/>
            </wp:cNvGraphicFramePr>
            <a:graphic>
              <a:graphicData uri="http://schemas.openxmlformats.org/drawingml/2006/picture">
                <pic:pic>
                  <pic:nvPicPr>
                    <pic:cNvPr id="0" name="ads_idmp_double_x_charge_difference_slice_cpu.png"/>
                    <pic:cNvPicPr/>
                  </pic:nvPicPr>
                  <pic:blipFill>
                    <a:blip r:embed="rId20"/>
                    <a:stretch>
                      <a:fillRect/>
                    </a:stretch>
                  </pic:blipFill>
                  <pic:spPr>
                    <a:xfrm>
                      <a:off x="0" y="0"/>
                      <a:ext cx="5212080" cy="4506831"/>
                    </a:xfrm>
                    <a:prstGeom prst="rect"/>
                  </pic:spPr>
                </pic:pic>
              </a:graphicData>
            </a:graphic>
          </wp:inline>
        </w:drawing>
      </w:r>
    </w:p>
    <w:p>
      <w:r>
        <w:rPr>
          <w:i/>
          <w:sz w:val="18"/>
        </w:rPr>
        <w:t>Figure 12. IDMP frozen-fragment charge-density-difference slice through Pb33, O111, and P105. Yellow indicates charge accumulation and cyan indicates depletion in the combined interface relative to frozen fragments. Source: work/calculations/charge_density_difference_cpu/ads_idmp_double_x/CHGDIFF.vasp.</w:t>
      </w:r>
    </w:p>
    <w:p>
      <w:pPr>
        <w:jc w:val="center"/>
      </w:pPr>
      <w:r>
        <w:drawing>
          <wp:inline xmlns:a="http://schemas.openxmlformats.org/drawingml/2006/main" xmlns:pic="http://schemas.openxmlformats.org/drawingml/2006/picture">
            <wp:extent cx="5212080" cy="4506831"/>
            <wp:docPr id="13" name="Picture 13"/>
            <wp:cNvGraphicFramePr>
              <a:graphicFrameLocks noChangeAspect="1"/>
            </wp:cNvGraphicFramePr>
            <a:graphic>
              <a:graphicData uri="http://schemas.openxmlformats.org/drawingml/2006/picture">
                <pic:pic>
                  <pic:nvPicPr>
                    <pic:cNvPr id="0" name="ads_amp_single_charge_difference_slice_cpu.png"/>
                    <pic:cNvPicPr/>
                  </pic:nvPicPr>
                  <pic:blipFill>
                    <a:blip r:embed="rId21"/>
                    <a:stretch>
                      <a:fillRect/>
                    </a:stretch>
                  </pic:blipFill>
                  <pic:spPr>
                    <a:xfrm>
                      <a:off x="0" y="0"/>
                      <a:ext cx="5212080" cy="4506831"/>
                    </a:xfrm>
                    <a:prstGeom prst="rect"/>
                  </pic:spPr>
                </pic:pic>
              </a:graphicData>
            </a:graphic>
          </wp:inline>
        </w:drawing>
      </w:r>
    </w:p>
    <w:p>
      <w:r>
        <w:rPr>
          <w:i/>
          <w:sz w:val="18"/>
        </w:rPr>
        <w:t>Figure 13. AMP frozen-fragment charge-density-difference slice through Pb33, O108, and P105 with the same sign convention and labeled element colors. Source: work/calculations/charge_density_difference_cpu/ads_amp_single/CHGDIFF.vasp.</w:t>
      </w:r>
    </w:p>
    <w:p>
      <w:pPr>
        <w:pStyle w:val="Heading1"/>
      </w:pPr>
      <w:r>
        <w:t>Computational Methods</w:t>
      </w:r>
    </w:p>
    <w:p>
      <w:r>
        <w:t>All calculations were performed with VASP in a new work/ directory. Original PDFs and original structure files in the project root were not modified. No online search was used.</w:t>
      </w:r>
    </w:p>
    <w:p>
      <w:r>
        <w:t>The supplied CsPbBr3 slab was used as the parent structure. A local exposed-Pb window was constructed by removing adjacent neutral CsBr units from the top surface. Supplied IDMP and AMP molecular coordinates were used to build candidate adsorbate geometries. The accepted models were selected after structure review for chemically sensible contacts and absence of severe short contacts.</w:t>
      </w:r>
    </w:p>
    <w:p>
      <w:r>
        <w:t>VASP settings: PBE with D3(BJ) dispersion correction (IVDW=12), ENCUT = 520 eV, Gamma-only KPOINTS, non-spin-polarized calculations, ISMEAR = 0, SIGMA = 0.05 eV, LASPH = .TRUE., LREAL = .FALSE., and ISYM = 0. Geometry relaxations used ISIF = 2 and EDIFFG = -0.03 eV/A. Static charge calculations used NSW = 0 and LCHARG/LAECHG where needed for Bader post-processing.</w:t>
      </w:r>
    </w:p>
    <w:p>
      <w:r>
        <w:t>Frozen-fragment CDD calculations used the same relaxed combined cell and atom positions, with either the slab or ligand atoms removed while preserving the original lattice. The final CPU fragment statics used VASP/6.4.1-gzbuild-intel_8300, vasp_gam, NSW = 0, LCHARG = .TRUE., ADDGRID = .TRUE., and explicit NGXF/NGYF/NGZF = 280/280/448 so that all combined and fragment CHGCAR files shared the same grid. Delta rho was then generated as rho(combined) - rho(frozen slab fragment) - rho(frozen ligand fragment).</w:t>
      </w:r>
    </w:p>
    <w:p>
      <w:r>
        <w:t>DOS calculations were fixed-density post-processing runs from validated static charge densities, using ICHARG = 11, LORBIT = 11, NEDOS = 2001, and the same CPU VASP/6.4.1-gzbuild-intel_8300 vasp_gam executable. The report explicitly separates the numerical near-EF diagnostic window from the reviewer-relevant +1.6 to +1.9 eV deep-trap window. Molecular ESP/ELF fields were generated from fixed-density gas-phase runs with ICHARG = 11, LVHAR = .TRUE., LELF = .TRUE., LDIPOL = .TRUE., and IDIPOL = 4. The reported molecular dipoles were integrated from CHGCAR and PAW valence charges, not from raw LDIPOL correction lines.</w:t>
      </w:r>
    </w:p>
    <w:p>
      <w:r>
        <w:t>POTCAR selections were Cs_sv, Pb, Br, P, O, N, C, and H from the local PBE POTCAR installation. POTCAR file contents were not printed or copied into this report.</w:t>
      </w:r>
    </w:p>
    <w:p>
      <w:r>
        <w:t>The reported adsorption energies are electronic energies, not Gibbs free energies. This is appropriate for the reviewer question because the target claim is local steric feasibility and relative binding strength of closely related motifs, not a finite-temperature phase boundary or adsorption isotherm. Entropic and solvent effects are therefore listed as limitations, not hidden corrections.</w:t>
      </w:r>
    </w:p>
    <w:p>
      <w:r>
        <w:rPr>
          <w:i/>
          <w:sz w:val="18"/>
        </w:rPr>
        <w:t>Table 8. Relaxation validation. Max force is the free-atom force from selective-dynamics parsing; constrained atoms are excluded from the relaxation gate.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Case</w:t>
            </w:r>
          </w:p>
        </w:tc>
        <w:tc>
          <w:tcPr>
            <w:tcW w:type="dxa" w:w="1728"/>
          </w:tcPr>
          <w:p>
            <w:r>
              <w:t>Accepted run directory</w:t>
            </w:r>
          </w:p>
        </w:tc>
        <w:tc>
          <w:tcPr>
            <w:tcW w:type="dxa" w:w="1728"/>
          </w:tcPr>
          <w:p>
            <w:r>
              <w:t>VASP footer</w:t>
            </w:r>
          </w:p>
        </w:tc>
        <w:tc>
          <w:tcPr>
            <w:tcW w:type="dxa" w:w="1728"/>
          </w:tcPr>
          <w:p>
            <w:r>
              <w:t>Ionic convergence</w:t>
            </w:r>
          </w:p>
        </w:tc>
        <w:tc>
          <w:tcPr>
            <w:tcW w:type="dxa" w:w="1728"/>
          </w:tcPr>
          <w:p>
            <w:r>
              <w:t>Max free force (eV/A)</w:t>
            </w:r>
          </w:p>
        </w:tc>
      </w:tr>
      <w:tr>
        <w:tc>
          <w:tcPr>
            <w:tcW w:type="dxa" w:w="1728"/>
          </w:tcPr>
          <w:p>
            <w:r>
              <w:t>slab_window</w:t>
            </w:r>
          </w:p>
        </w:tc>
        <w:tc>
          <w:tcPr>
            <w:tcW w:type="dxa" w:w="1728"/>
          </w:tcPr>
          <w:p>
            <w:r>
              <w:t>calculations/relax_accepted/slab_window</w:t>
            </w:r>
          </w:p>
        </w:tc>
        <w:tc>
          <w:tcPr>
            <w:tcW w:type="dxa" w:w="1728"/>
          </w:tcPr>
          <w:p>
            <w:r>
              <w:t>yes</w:t>
            </w:r>
          </w:p>
        </w:tc>
        <w:tc>
          <w:tcPr>
            <w:tcW w:type="dxa" w:w="1728"/>
          </w:tcPr>
          <w:p>
            <w:r>
              <w:t>yes</w:t>
            </w:r>
          </w:p>
        </w:tc>
        <w:tc>
          <w:tcPr>
            <w:tcW w:type="dxa" w:w="1728"/>
          </w:tcPr>
          <w:p>
            <w:r>
              <w:t>0.0219</w:t>
            </w:r>
          </w:p>
        </w:tc>
      </w:tr>
      <w:tr>
        <w:tc>
          <w:tcPr>
            <w:tcW w:type="dxa" w:w="1728"/>
          </w:tcPr>
          <w:p>
            <w:r>
              <w:t>ads_idmp_double_x</w:t>
            </w:r>
          </w:p>
        </w:tc>
        <w:tc>
          <w:tcPr>
            <w:tcW w:type="dxa" w:w="1728"/>
          </w:tcPr>
          <w:p>
            <w:r>
              <w:t>calculations/relax_accepted/ads_idmp_double_x</w:t>
            </w:r>
          </w:p>
        </w:tc>
        <w:tc>
          <w:tcPr>
            <w:tcW w:type="dxa" w:w="1728"/>
          </w:tcPr>
          <w:p>
            <w:r>
              <w:t>yes</w:t>
            </w:r>
          </w:p>
        </w:tc>
        <w:tc>
          <w:tcPr>
            <w:tcW w:type="dxa" w:w="1728"/>
          </w:tcPr>
          <w:p>
            <w:r>
              <w:t>yes</w:t>
            </w:r>
          </w:p>
        </w:tc>
        <w:tc>
          <w:tcPr>
            <w:tcW w:type="dxa" w:w="1728"/>
          </w:tcPr>
          <w:p>
            <w:r>
              <w:t>0.0260</w:t>
            </w:r>
          </w:p>
        </w:tc>
      </w:tr>
      <w:tr>
        <w:tc>
          <w:tcPr>
            <w:tcW w:type="dxa" w:w="1728"/>
          </w:tcPr>
          <w:p>
            <w:r>
              <w:t>ads_idmp_single</w:t>
            </w:r>
          </w:p>
        </w:tc>
        <w:tc>
          <w:tcPr>
            <w:tcW w:type="dxa" w:w="1728"/>
          </w:tcPr>
          <w:p>
            <w:r>
              <w:t>calculations/relax_accepted/ads_idmp_single</w:t>
            </w:r>
          </w:p>
        </w:tc>
        <w:tc>
          <w:tcPr>
            <w:tcW w:type="dxa" w:w="1728"/>
          </w:tcPr>
          <w:p>
            <w:r>
              <w:t>yes</w:t>
            </w:r>
          </w:p>
        </w:tc>
        <w:tc>
          <w:tcPr>
            <w:tcW w:type="dxa" w:w="1728"/>
          </w:tcPr>
          <w:p>
            <w:r>
              <w:t>yes</w:t>
            </w:r>
          </w:p>
        </w:tc>
        <w:tc>
          <w:tcPr>
            <w:tcW w:type="dxa" w:w="1728"/>
          </w:tcPr>
          <w:p>
            <w:r>
              <w:t>0.0209</w:t>
            </w:r>
          </w:p>
        </w:tc>
      </w:tr>
      <w:tr>
        <w:tc>
          <w:tcPr>
            <w:tcW w:type="dxa" w:w="1728"/>
          </w:tcPr>
          <w:p>
            <w:r>
              <w:t>ads_amp_single</w:t>
            </w:r>
          </w:p>
        </w:tc>
        <w:tc>
          <w:tcPr>
            <w:tcW w:type="dxa" w:w="1728"/>
          </w:tcPr>
          <w:p>
            <w:r>
              <w:t>calculations/relax_accepted/ads_amp_single</w:t>
            </w:r>
          </w:p>
        </w:tc>
        <w:tc>
          <w:tcPr>
            <w:tcW w:type="dxa" w:w="1728"/>
          </w:tcPr>
          <w:p>
            <w:r>
              <w:t>yes</w:t>
            </w:r>
          </w:p>
        </w:tc>
        <w:tc>
          <w:tcPr>
            <w:tcW w:type="dxa" w:w="1728"/>
          </w:tcPr>
          <w:p>
            <w:r>
              <w:t>yes</w:t>
            </w:r>
          </w:p>
        </w:tc>
        <w:tc>
          <w:tcPr>
            <w:tcW w:type="dxa" w:w="1728"/>
          </w:tcPr>
          <w:p>
            <w:r>
              <w:t>0.0278</w:t>
            </w:r>
          </w:p>
        </w:tc>
      </w:tr>
      <w:tr>
        <w:tc>
          <w:tcPr>
            <w:tcW w:type="dxa" w:w="1728"/>
          </w:tcPr>
          <w:p>
            <w:r>
              <w:t>gas_idmp</w:t>
            </w:r>
          </w:p>
        </w:tc>
        <w:tc>
          <w:tcPr>
            <w:tcW w:type="dxa" w:w="1728"/>
          </w:tcPr>
          <w:p>
            <w:r>
              <w:t>calculations/relax_accepted/gas_idmp</w:t>
            </w:r>
          </w:p>
        </w:tc>
        <w:tc>
          <w:tcPr>
            <w:tcW w:type="dxa" w:w="1728"/>
          </w:tcPr>
          <w:p>
            <w:r>
              <w:t>yes</w:t>
            </w:r>
          </w:p>
        </w:tc>
        <w:tc>
          <w:tcPr>
            <w:tcW w:type="dxa" w:w="1728"/>
          </w:tcPr>
          <w:p>
            <w:r>
              <w:t>yes</w:t>
            </w:r>
          </w:p>
        </w:tc>
        <w:tc>
          <w:tcPr>
            <w:tcW w:type="dxa" w:w="1728"/>
          </w:tcPr>
          <w:p>
            <w:r>
              <w:t>0.0243</w:t>
            </w:r>
          </w:p>
        </w:tc>
      </w:tr>
      <w:tr>
        <w:tc>
          <w:tcPr>
            <w:tcW w:type="dxa" w:w="1728"/>
          </w:tcPr>
          <w:p>
            <w:r>
              <w:t>gas_amp</w:t>
            </w:r>
          </w:p>
        </w:tc>
        <w:tc>
          <w:tcPr>
            <w:tcW w:type="dxa" w:w="1728"/>
          </w:tcPr>
          <w:p>
            <w:r>
              <w:t>calculations/relax_accepted/gas_amp</w:t>
            </w:r>
          </w:p>
        </w:tc>
        <w:tc>
          <w:tcPr>
            <w:tcW w:type="dxa" w:w="1728"/>
          </w:tcPr>
          <w:p>
            <w:r>
              <w:t>yes</w:t>
            </w:r>
          </w:p>
        </w:tc>
        <w:tc>
          <w:tcPr>
            <w:tcW w:type="dxa" w:w="1728"/>
          </w:tcPr>
          <w:p>
            <w:r>
              <w:t>yes</w:t>
            </w:r>
          </w:p>
        </w:tc>
        <w:tc>
          <w:tcPr>
            <w:tcW w:type="dxa" w:w="1728"/>
          </w:tcPr>
          <w:p>
            <w:r>
              <w:t>0.0250</w:t>
            </w:r>
          </w:p>
        </w:tc>
      </w:tr>
    </w:tbl>
    <w:p>
      <w:pPr>
        <w:pStyle w:val="Heading1"/>
      </w:pPr>
      <w:r>
        <w:t>Validation And Limitations</w:t>
      </w:r>
    </w:p>
    <w:p>
      <w:r>
        <w:t>Multiple validation rounds were recorded in work/reviews/scientific_validation_rounds.md and work/.research/events.jsonl. The central relaxations all passed the parser gate, and static calculations for the clean slab, IDMP double-ended model, IDMP single-start control, AMP control, gas IDMP, and gas AMP completed with VASP timing footers.</w:t>
      </w:r>
    </w:p>
    <w:p>
      <w:r>
        <w:t>The optional two-AMP control was not used because repeated continuations did not pass the force gate; the final continuation ended with max free-atom force 0.0987 eV/A. It is therefore correctly treated as inconclusive rather than reported as a result.</w:t>
      </w:r>
    </w:p>
    <w:p>
      <w:r>
        <w:t>Frozen-fragment charge-density-difference calculations initially failed on GPU nodes because the fragment statics exceeded the site memory limit. A first CPU submission with VASP/6.6.0 failed before VASP startup due to a missing compute-node shared library, and a subsequent oversized-grid CPU branch was cancelled after the gate check detected a grid mismatch. The final grid-matched CPU branch completed and is used here; failed and cancelled branches are preserved only as provenance.</w:t>
      </w:r>
    </w:p>
    <w:p>
      <w:r>
        <w:t>The first molecular-field branch completed for AMP but the full-SCF IDMP run reached NELM = 240 and was not accepted. The accepted molecular ESP/ELF maps therefore come from fixed-density ICHARG = 11 post-processing based on the validated gas-phase static CHGCAR/WAVECAR files.</w:t>
      </w:r>
    </w:p>
    <w:p>
      <w:r>
        <w:t>The DOS results are qualitative semilocal, Gamma-only comparisons of local exposed-Pb defect proxies. They do not provide a robust computational proof of +1.6 to +1.9 eV deep-level trap suppression: that window is empty in all three curves, while the near-EF values are at numerical-noise scale and show non-monotonic AMP &gt; exposed-Pb behavior. The total Bader transfer is also partition dependent; the approximately 1 e IDMP value is too large to present as literal charge transfer for a neutral dative interaction and should be treated only as a whole-fragment Bader partition sum.</w:t>
      </w:r>
    </w:p>
    <w:p>
      <w:r>
        <w:t>The slab-window model is exploratory and local. It should be described as theoretical support for local IDMP double-ended Pb-O anchoring, not as a full reproduction of quasi-2D film growth, ligand coverage, solvent chemistry, or device-scale morphology.</w:t>
      </w:r>
    </w:p>
    <w:p>
      <w:pPr>
        <w:pStyle w:val="Heading1"/>
      </w:pPr>
      <w:r>
        <w:t>Paste-Ready Reviewer Responses</w:t>
      </w:r>
    </w:p>
    <w:p>
      <w:r>
        <w:t>Response to Reviewer #1 comment 2: We thank the reviewer for raising the important concern about whether the short-chain IDMP ligand can anchor the perovskite through both phosphonic-acid termini without steric hindrance. Experimentally, the manuscript and Supporting Information show that IDMP interacts with Pb-containing octahedra: the P=O vibration shifts from 1264 to 1260 cm-1 after mixing with PbBr2, Pb 4f and Br 3d XPS peaks shift by about 0.2 eV after IDMP treatment, and 207Pb NMR indicates stronger affinity for IDMP than AMP. In addition, increasing IDMP concentration changes PL intensity but does not shift the PL peak position, and the UV-vis absorption edge remains unchanged, indicating that IDMP does not distort the phase composition or quantum-confinement structure.</w:t>
      </w:r>
    </w:p>
    <w:p>
      <w:r>
        <w:t>To provide theoretical evidence, we performed VASP calculations on an exposed-Pb CsPbBr3 local surface model using the supplied slab and ligand structures. The relaxed IDMP double-ended model forms two Pb-O coordination contacts to two adjacent Pb sites. The two contacts are Pb33-O111 = 2.557 A and Pb35-O112 = 2.558 A; the coordinating O atoms are assigned to two different phosphonate P centers, confirming double-ended rather than single-end binding. The adsorption energy of this model is -2.577 eV relative to the clean slab and gas-phase IDMP, which is 1.069 eV more stable than the IDMP single-start control and 1.108 eV more stable than the AMP control under the same computational settings. These results indicate that double-ended IDMP anchoring is geometrically feasible and energetically favorable, so steric hindrance does not prevent the proposed synergistic Pb-O-P anchoring motif.</w:t>
      </w:r>
    </w:p>
    <w:p>
      <w:r>
        <w:t>Response to Reviewer #1 comment 4: We agree that suppression of deep-level defects should be supported by direct evidence. Experimentally, SCLC analysis shows that the defect density decreases from 4.6 x 10^17 cm-3 to 1.0 x 10^17 cm-3 after IDMP treatment. We also performed fixed-density DOS checks for an exposed-Pb defect proxy, the AMP-passivated model, and the IDMP double-passivated model. To avoid overinterpretation, we do not use the near-EF DOS values as quantitative evidence for the stated deep-level traps, because the reviewer-relevant +1.6 to +1.9 eV window is a different energy region and is empty in the present Gamma-only semilocal DOS curves for all three models. The near-EF DOS values are only numerical diagnostics of the finite slab calculation and are not robust enough to establish a deep-trap ranking. The computational evidence is therefore used to support the structural passivation mechanism, while the quantitative trap-density reduction is supported by the experimental SCLC result.</w:t>
      </w:r>
    </w:p>
    <w:p>
      <w:r>
        <w:t>Additional molecular calculations reproduce the dipole, electrostatic-potential, and ELF analysis. The CHGCAR-integrated molecular dipole magnitudes are 1.861 D for IDMP and 2.515 D for AMP. Relative ESP maps show a more negative ESP distribution for IDMP on the molecular plane (p05/p50/p95 = -44.91/-1.69/5.19 eV) than AMP (-24.43/-0.17/4.59 eV), and ELF maps show a larger high-localization fraction for IDMP (ELF &gt; 0.80 fraction = 0.123) than AMP (0.083). These molecular-field results support the presence of localized electron-rich phosphonate regions that can coordinate exposed Pb sites.</w:t>
      </w:r>
    </w:p>
    <w:p>
      <w:r>
        <w:t>Response to Reviewer #3 comment 6: We have revised the computational charge-density figures to include coordinate axes and element-color information. The updated figures show the x/y or x/z axes for structure panels, slice-coordinate axes for total charge-density and charge-density-difference slices, atom labels for the key Pb/O/P atoms, colorbars for total charge density, Delta rho, and Bader net charge, and explicit element-color legends for Cs, Pb, Br, P, O, N, C, and H. The charge-density-difference panels use frozen-fragment VASP calculations on CPU nodes with matched 280 x 280 x 448 CHGCAR grids; yellow indicates accumulation and cyan indicates depletion relative to the frozen fragments. These additions make the charge-density calculation and the chemical identities in the models unambiguous.</w:t>
      </w:r>
    </w:p>
    <w:p>
      <w:r>
        <w:t>We also now report total Bader charge sums rather than only localized contact-atom charges. Using AECCAR0 + AECCAR2 Bader analysis and summing the full adsorbate and full slab partitions, the IDMP adsorbate has q = -1.061 e and the slab has q = +1.061 e, while AMP has q = -0.688 e and the slab has q = +0.688 e. Because an approximately 1 e whole-fragment value is large for a neutral-molecule dative interaction, we report it only as a model-dependent Bader partition sum and do not interpret it as literal one-electron transfer, covalent bond order, or formal oxidation-state change. The chemical interaction is instead discussed using the combined geometry, local Pb-O Bader descriptors, and charge-density-difference maps.</w:t>
      </w:r>
    </w:p>
    <w:p>
      <w:pPr>
        <w:pStyle w:val="Heading1"/>
      </w:pPr>
      <w:r>
        <w:t>Calculation Directory Index</w:t>
      </w:r>
    </w:p>
    <w:p>
      <w:r>
        <w:t>The table below maps every report figure or table to the local directory or analysis file from which it was generated. All intermediate commands and validation outcomes are logged under work/logs/ and work/.research/.</w:t>
      </w:r>
    </w:p>
    <w:p>
      <w:r>
        <w:rPr>
          <w:i/>
          <w:sz w:val="18"/>
        </w:rPr>
        <w:t>Table 9. Provenance index for report assets.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Asset</w:t>
            </w:r>
          </w:p>
        </w:tc>
        <w:tc>
          <w:tcPr>
            <w:tcW w:type="dxa" w:w="2880"/>
          </w:tcPr>
          <w:p>
            <w:r>
              <w:t>Content</w:t>
            </w:r>
          </w:p>
        </w:tc>
        <w:tc>
          <w:tcPr>
            <w:tcW w:type="dxa" w:w="2880"/>
          </w:tcPr>
          <w:p>
            <w:r>
              <w:t>Primary provenance</w:t>
            </w:r>
          </w:p>
        </w:tc>
      </w:tr>
      <w:tr>
        <w:tc>
          <w:tcPr>
            <w:tcW w:type="dxa" w:w="2880"/>
          </w:tcPr>
          <w:p>
            <w:r>
              <w:t>Fig. 1</w:t>
            </w:r>
          </w:p>
        </w:tc>
        <w:tc>
          <w:tcPr>
            <w:tcW w:type="dxa" w:w="2880"/>
          </w:tcPr>
          <w:p>
            <w:r>
              <w:t>IDMP relaxed top/side geometry</w:t>
            </w:r>
          </w:p>
        </w:tc>
        <w:tc>
          <w:tcPr>
            <w:tcW w:type="dxa" w:w="2880"/>
          </w:tcPr>
          <w:p>
            <w:r>
              <w:t>work/calculations/relax_accepted/ads_idmp_double_x</w:t>
            </w:r>
          </w:p>
        </w:tc>
      </w:tr>
      <w:tr>
        <w:tc>
          <w:tcPr>
            <w:tcW w:type="dxa" w:w="2880"/>
          </w:tcPr>
          <w:p>
            <w:r>
              <w:t>Fig. 2</w:t>
            </w:r>
          </w:p>
        </w:tc>
        <w:tc>
          <w:tcPr>
            <w:tcW w:type="dxa" w:w="2880"/>
          </w:tcPr>
          <w:p>
            <w:r>
              <w:t>AMP relaxed top/side geometry</w:t>
            </w:r>
          </w:p>
        </w:tc>
        <w:tc>
          <w:tcPr>
            <w:tcW w:type="dxa" w:w="2880"/>
          </w:tcPr>
          <w:p>
            <w:r>
              <w:t>work/calculations/relax_accepted/ads_amp_single</w:t>
            </w:r>
          </w:p>
        </w:tc>
      </w:tr>
      <w:tr>
        <w:tc>
          <w:tcPr>
            <w:tcW w:type="dxa" w:w="2880"/>
          </w:tcPr>
          <w:p>
            <w:r>
              <w:t>Fig. 3</w:t>
            </w:r>
          </w:p>
        </w:tc>
        <w:tc>
          <w:tcPr>
            <w:tcW w:type="dxa" w:w="2880"/>
          </w:tcPr>
          <w:p>
            <w:r>
              <w:t>Adsorption energy comparison</w:t>
            </w:r>
          </w:p>
        </w:tc>
        <w:tc>
          <w:tcPr>
            <w:tcW w:type="dxa" w:w="2880"/>
          </w:tcPr>
          <w:p>
            <w:r>
              <w:t>work/analysis/vasp_results_summary.json; work/calculations/static/*</w:t>
            </w:r>
          </w:p>
        </w:tc>
      </w:tr>
      <w:tr>
        <w:tc>
          <w:tcPr>
            <w:tcW w:type="dxa" w:w="2880"/>
          </w:tcPr>
          <w:p>
            <w:r>
              <w:t>Fig. 4</w:t>
            </w:r>
          </w:p>
        </w:tc>
        <w:tc>
          <w:tcPr>
            <w:tcW w:type="dxa" w:w="2880"/>
          </w:tcPr>
          <w:p>
            <w:r>
              <w:t>Pb-O distance summary</w:t>
            </w:r>
          </w:p>
        </w:tc>
        <w:tc>
          <w:tcPr>
            <w:tcW w:type="dxa" w:w="2880"/>
          </w:tcPr>
          <w:p>
            <w:r>
              <w:t>work/analysis/contact_topology.json</w:t>
            </w:r>
          </w:p>
        </w:tc>
      </w:tr>
      <w:tr>
        <w:tc>
          <w:tcPr>
            <w:tcW w:type="dxa" w:w="2880"/>
          </w:tcPr>
          <w:p>
            <w:r>
              <w:t>Fig. 5</w:t>
            </w:r>
          </w:p>
        </w:tc>
        <w:tc>
          <w:tcPr>
            <w:tcW w:type="dxa" w:w="2880"/>
          </w:tcPr>
          <w:p>
            <w:r>
              <w:t>IDMP Bader charge panel</w:t>
            </w:r>
          </w:p>
        </w:tc>
        <w:tc>
          <w:tcPr>
            <w:tcW w:type="dxa" w:w="2880"/>
          </w:tcPr>
          <w:p>
            <w:r>
              <w:t>work/calculations/static/ads_idmp_double_x</w:t>
            </w:r>
          </w:p>
        </w:tc>
      </w:tr>
      <w:tr>
        <w:tc>
          <w:tcPr>
            <w:tcW w:type="dxa" w:w="2880"/>
          </w:tcPr>
          <w:p>
            <w:r>
              <w:t>Fig. 6</w:t>
            </w:r>
          </w:p>
        </w:tc>
        <w:tc>
          <w:tcPr>
            <w:tcW w:type="dxa" w:w="2880"/>
          </w:tcPr>
          <w:p>
            <w:r>
              <w:t>AMP Bader charge panel</w:t>
            </w:r>
          </w:p>
        </w:tc>
        <w:tc>
          <w:tcPr>
            <w:tcW w:type="dxa" w:w="2880"/>
          </w:tcPr>
          <w:p>
            <w:r>
              <w:t>work/calculations/static/ads_amp_single</w:t>
            </w:r>
          </w:p>
        </w:tc>
      </w:tr>
      <w:tr>
        <w:tc>
          <w:tcPr>
            <w:tcW w:type="dxa" w:w="2880"/>
          </w:tcPr>
          <w:p>
            <w:r>
              <w:t>Fig. 7</w:t>
            </w:r>
          </w:p>
        </w:tc>
        <w:tc>
          <w:tcPr>
            <w:tcW w:type="dxa" w:w="2880"/>
          </w:tcPr>
          <w:p>
            <w:r>
              <w:t>IDMP static charge-density slice</w:t>
            </w:r>
          </w:p>
        </w:tc>
        <w:tc>
          <w:tcPr>
            <w:tcW w:type="dxa" w:w="2880"/>
          </w:tcPr>
          <w:p>
            <w:r>
              <w:t>work/calculations/static/ads_idmp_double_x/CHGCAR</w:t>
            </w:r>
          </w:p>
        </w:tc>
      </w:tr>
      <w:tr>
        <w:tc>
          <w:tcPr>
            <w:tcW w:type="dxa" w:w="2880"/>
          </w:tcPr>
          <w:p>
            <w:r>
              <w:t>Fig. 8</w:t>
            </w:r>
          </w:p>
        </w:tc>
        <w:tc>
          <w:tcPr>
            <w:tcW w:type="dxa" w:w="2880"/>
          </w:tcPr>
          <w:p>
            <w:r>
              <w:t>AMP static charge-density slice</w:t>
            </w:r>
          </w:p>
        </w:tc>
        <w:tc>
          <w:tcPr>
            <w:tcW w:type="dxa" w:w="2880"/>
          </w:tcPr>
          <w:p>
            <w:r>
              <w:t>work/calculations/static/ads_amp_single/CHGCAR</w:t>
            </w:r>
          </w:p>
        </w:tc>
      </w:tr>
      <w:tr>
        <w:tc>
          <w:tcPr>
            <w:tcW w:type="dxa" w:w="2880"/>
          </w:tcPr>
          <w:p>
            <w:r>
              <w:t>Fig. 9</w:t>
            </w:r>
          </w:p>
        </w:tc>
        <w:tc>
          <w:tcPr>
            <w:tcW w:type="dxa" w:w="2880"/>
          </w:tcPr>
          <w:p>
            <w:r>
              <w:t>CDD planar average</w:t>
            </w:r>
          </w:p>
        </w:tc>
        <w:tc>
          <w:tcPr>
            <w:tcW w:type="dxa" w:w="2880"/>
          </w:tcPr>
          <w:p>
            <w:r>
              <w:t>work/calculations/charge_density_difference_cpu/*/planar_average_z.csv</w:t>
            </w:r>
          </w:p>
        </w:tc>
      </w:tr>
      <w:tr>
        <w:tc>
          <w:tcPr>
            <w:tcW w:type="dxa" w:w="2880"/>
          </w:tcPr>
          <w:p>
            <w:r>
              <w:t>Fig. 10</w:t>
            </w:r>
          </w:p>
        </w:tc>
        <w:tc>
          <w:tcPr>
            <w:tcW w:type="dxa" w:w="2880"/>
          </w:tcPr>
          <w:p>
            <w:r>
              <w:t>IDMP CDD slice</w:t>
            </w:r>
          </w:p>
        </w:tc>
        <w:tc>
          <w:tcPr>
            <w:tcW w:type="dxa" w:w="2880"/>
          </w:tcPr>
          <w:p>
            <w:r>
              <w:t>work/calculations/charge_density_difference_cpu/ads_idmp_double_x/CHGDIFF.vasp</w:t>
            </w:r>
          </w:p>
        </w:tc>
      </w:tr>
      <w:tr>
        <w:tc>
          <w:tcPr>
            <w:tcW w:type="dxa" w:w="2880"/>
          </w:tcPr>
          <w:p>
            <w:r>
              <w:t>Fig. 11</w:t>
            </w:r>
          </w:p>
        </w:tc>
        <w:tc>
          <w:tcPr>
            <w:tcW w:type="dxa" w:w="2880"/>
          </w:tcPr>
          <w:p>
            <w:r>
              <w:t>AMP CDD slice</w:t>
            </w:r>
          </w:p>
        </w:tc>
        <w:tc>
          <w:tcPr>
            <w:tcW w:type="dxa" w:w="2880"/>
          </w:tcPr>
          <w:p>
            <w:r>
              <w:t>work/calculations/charge_density_difference_cpu/ads_amp_single/CHGDIFF.vasp</w:t>
            </w:r>
          </w:p>
        </w:tc>
      </w:tr>
      <w:tr>
        <w:tc>
          <w:tcPr>
            <w:tcW w:type="dxa" w:w="2880"/>
          </w:tcPr>
          <w:p>
            <w:r>
              <w:t>Fig. 12</w:t>
            </w:r>
          </w:p>
        </w:tc>
        <w:tc>
          <w:tcPr>
            <w:tcW w:type="dxa" w:w="2880"/>
          </w:tcPr>
          <w:p>
            <w:r>
              <w:t>Deep-level-defect DOS comparison</w:t>
            </w:r>
          </w:p>
        </w:tc>
        <w:tc>
          <w:tcPr>
            <w:tcW w:type="dxa" w:w="2880"/>
          </w:tcPr>
          <w:p>
            <w:r>
              <w:t>work/calculations/dos_deep_defects/*; work/analysis/dos_deep_defects_summary.json</w:t>
            </w:r>
          </w:p>
        </w:tc>
      </w:tr>
      <w:tr>
        <w:tc>
          <w:tcPr>
            <w:tcW w:type="dxa" w:w="2880"/>
          </w:tcPr>
          <w:p>
            <w:r>
              <w:t>Fig. 13</w:t>
            </w:r>
          </w:p>
        </w:tc>
        <w:tc>
          <w:tcPr>
            <w:tcW w:type="dxa" w:w="2880"/>
          </w:tcPr>
          <w:p>
            <w:r>
              <w:t>Molecular ESP and ELF maps</w:t>
            </w:r>
          </w:p>
        </w:tc>
        <w:tc>
          <w:tcPr>
            <w:tcW w:type="dxa" w:w="2880"/>
          </w:tcPr>
          <w:p>
            <w:r>
              <w:t>work/calculations/molecular_fields_fixed/*; work/analysis/molecular_field_summary.json</w:t>
            </w:r>
          </w:p>
        </w:tc>
      </w:tr>
      <w:tr>
        <w:tc>
          <w:tcPr>
            <w:tcW w:type="dxa" w:w="2880"/>
          </w:tcPr>
          <w:p>
            <w:r>
              <w:t>Table 1</w:t>
            </w:r>
          </w:p>
        </w:tc>
        <w:tc>
          <w:tcPr>
            <w:tcW w:type="dxa" w:w="2880"/>
          </w:tcPr>
          <w:p>
            <w:r>
              <w:t>Adsorption energies</w:t>
            </w:r>
          </w:p>
        </w:tc>
        <w:tc>
          <w:tcPr>
            <w:tcW w:type="dxa" w:w="2880"/>
          </w:tcPr>
          <w:p>
            <w:r>
              <w:t>work/analysis/vasp_results_summary.json</w:t>
            </w:r>
          </w:p>
        </w:tc>
      </w:tr>
      <w:tr>
        <w:tc>
          <w:tcPr>
            <w:tcW w:type="dxa" w:w="2880"/>
          </w:tcPr>
          <w:p>
            <w:r>
              <w:t>Table 2</w:t>
            </w:r>
          </w:p>
        </w:tc>
        <w:tc>
          <w:tcPr>
            <w:tcW w:type="dxa" w:w="2880"/>
          </w:tcPr>
          <w:p>
            <w:r>
              <w:t>Contact topology</w:t>
            </w:r>
          </w:p>
        </w:tc>
        <w:tc>
          <w:tcPr>
            <w:tcW w:type="dxa" w:w="2880"/>
          </w:tcPr>
          <w:p>
            <w:r>
              <w:t>work/analysis/contact_topology.json</w:t>
            </w:r>
          </w:p>
        </w:tc>
      </w:tr>
      <w:tr>
        <w:tc>
          <w:tcPr>
            <w:tcW w:type="dxa" w:w="2880"/>
          </w:tcPr>
          <w:p>
            <w:r>
              <w:t>Table 3</w:t>
            </w:r>
          </w:p>
        </w:tc>
        <w:tc>
          <w:tcPr>
            <w:tcW w:type="dxa" w:w="2880"/>
          </w:tcPr>
          <w:p>
            <w:r>
              <w:t>Interface Bader contacts</w:t>
            </w:r>
          </w:p>
        </w:tc>
        <w:tc>
          <w:tcPr>
            <w:tcW w:type="dxa" w:w="2880"/>
          </w:tcPr>
          <w:p>
            <w:r>
              <w:t>work/analysis/interface_bader_contacts.json</w:t>
            </w:r>
          </w:p>
        </w:tc>
      </w:tr>
      <w:tr>
        <w:tc>
          <w:tcPr>
            <w:tcW w:type="dxa" w:w="2880"/>
          </w:tcPr>
          <w:p>
            <w:r>
              <w:t>Table 4</w:t>
            </w:r>
          </w:p>
        </w:tc>
        <w:tc>
          <w:tcPr>
            <w:tcW w:type="dxa" w:w="2880"/>
          </w:tcPr>
          <w:p>
            <w:r>
              <w:t>CPU CDD summary</w:t>
            </w:r>
          </w:p>
        </w:tc>
        <w:tc>
          <w:tcPr>
            <w:tcW w:type="dxa" w:w="2880"/>
          </w:tcPr>
          <w:p>
            <w:r>
              <w:t>work/analysis/cdd_cpu_summary.json</w:t>
            </w:r>
          </w:p>
        </w:tc>
      </w:tr>
      <w:tr>
        <w:tc>
          <w:tcPr>
            <w:tcW w:type="dxa" w:w="2880"/>
          </w:tcPr>
          <w:p>
            <w:r>
              <w:t>Table 5</w:t>
            </w:r>
          </w:p>
        </w:tc>
        <w:tc>
          <w:tcPr>
            <w:tcW w:type="dxa" w:w="2880"/>
          </w:tcPr>
          <w:p>
            <w:r>
              <w:t>Deep-level-defect DOS summary</w:t>
            </w:r>
          </w:p>
        </w:tc>
        <w:tc>
          <w:tcPr>
            <w:tcW w:type="dxa" w:w="2880"/>
          </w:tcPr>
          <w:p>
            <w:r>
              <w:t>work/analysis/dos_deep_defects_summary.json</w:t>
            </w:r>
          </w:p>
        </w:tc>
      </w:tr>
      <w:tr>
        <w:tc>
          <w:tcPr>
            <w:tcW w:type="dxa" w:w="2880"/>
          </w:tcPr>
          <w:p>
            <w:r>
              <w:t>Table 6</w:t>
            </w:r>
          </w:p>
        </w:tc>
        <w:tc>
          <w:tcPr>
            <w:tcW w:type="dxa" w:w="2880"/>
          </w:tcPr>
          <w:p>
            <w:r>
              <w:t>Molecular dipole, ESP, and ELF summary</w:t>
            </w:r>
          </w:p>
        </w:tc>
        <w:tc>
          <w:tcPr>
            <w:tcW w:type="dxa" w:w="2880"/>
          </w:tcPr>
          <w:p>
            <w:r>
              <w:t>work/analysis/molecular_field_summary.json</w:t>
            </w:r>
          </w:p>
        </w:tc>
      </w:tr>
      <w:tr>
        <w:tc>
          <w:tcPr>
            <w:tcW w:type="dxa" w:w="2880"/>
          </w:tcPr>
          <w:p>
            <w:r>
              <w:t>Table 7</w:t>
            </w:r>
          </w:p>
        </w:tc>
        <w:tc>
          <w:tcPr>
            <w:tcW w:type="dxa" w:w="2880"/>
          </w:tcPr>
          <w:p>
            <w:r>
              <w:t>Total Bader charge transfer</w:t>
            </w:r>
          </w:p>
        </w:tc>
        <w:tc>
          <w:tcPr>
            <w:tcW w:type="dxa" w:w="2880"/>
          </w:tcPr>
          <w:p>
            <w:r>
              <w:t>work/analysis/total_bader_charge_transfer.json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