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Consolidated Computational Response to Reviewer</w:t>
      </w:r>
    </w:p>
    <w:p>
      <w:r>
        <w:rPr>
          <w:i/>
        </w:rPr>
        <w:t>RuOx OER reviewer-response package; draft for authors</w:t>
      </w:r>
    </w:p>
    <w:p>
      <w:pPr>
        <w:pStyle w:val="Heading1"/>
      </w:pPr>
      <w:r>
        <w:t>Current Status</w:t>
      </w:r>
    </w:p>
    <w:p>
      <w:r>
        <w:t>This consolidated report merges the first-wave proxy-model calculations, the second-wave reconstructed amorphous h-RuOx model, and the complete second-wave CHE endpoint update into one reviewer-response document.</w:t>
      </w:r>
    </w:p>
    <w:p>
      <w:r>
        <w:t>Report mode: reviewer-response draft for the authors. The first-wave proxy claims for proton uptake feasibility and hydroxylated/coordinated-water motifs are retained only within proxy-model limits. The second-wave h-RuOx CHE profile is now complete at the electronic-energy screening level because tightened rerun *OOH job 667108 passed validation.</w:t>
      </w:r>
    </w:p>
    <w:p>
      <w:r>
        <w:t>The previous waiver-mode and failed endpoint values are not used in this report. Failed endpoint energies are not reported as CHE evidence.</w:t>
      </w:r>
    </w:p>
    <w:p>
      <w:r>
        <w:rPr>
          <w:i/>
          <w:sz w:val="18"/>
        </w:rPr>
        <w:t>Table 1. Reviewer-question crosswalk and current computational status.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Reviewer issue</w:t>
            </w:r>
          </w:p>
        </w:tc>
        <w:tc>
          <w:tcPr>
            <w:tcW w:type="dxa" w:w="2880"/>
          </w:tcPr>
          <w:p>
            <w:r>
              <w:t>Current evidence</w:t>
            </w:r>
          </w:p>
        </w:tc>
        <w:tc>
          <w:tcPr>
            <w:tcW w:type="dxa" w:w="2880"/>
          </w:tcPr>
          <w:p>
            <w:r>
              <w:t>Response status</w:t>
            </w:r>
          </w:p>
        </w:tc>
      </w:tr>
      <w:tr>
        <w:tc>
          <w:tcPr>
            <w:tcW w:type="dxa" w:w="2880"/>
          </w:tcPr>
          <w:p>
            <w:r>
              <w:t>Replace crystalline RuO2-derived proxy as the main h-RuOx model</w:t>
            </w:r>
          </w:p>
        </w:tc>
        <w:tc>
          <w:tcPr>
            <w:tcW w:type="dxa" w:w="2880"/>
          </w:tcPr>
          <w:p>
            <w:r>
              <w:t>Hydrous amorphous Ru24O46H8 parent generated by AIMD disordering/quench and post-AIMD relaxation; amorphous slab accepted for OER adsorbates</w:t>
            </w:r>
          </w:p>
        </w:tc>
        <w:tc>
          <w:tcPr>
            <w:tcW w:type="dxa" w:w="2880"/>
          </w:tcPr>
          <w:p>
            <w:r>
              <w:t>Addressed for model construction; first-wave crystalline proxy is demoted to background</w:t>
            </w:r>
          </w:p>
        </w:tc>
      </w:tr>
      <w:tr>
        <w:tc>
          <w:tcPr>
            <w:tcW w:type="dxa" w:w="2880"/>
          </w:tcPr>
          <w:p>
            <w:r>
              <w:t>Provide complete CHE OER profile on h-RuOx</w:t>
            </w:r>
          </w:p>
        </w:tc>
        <w:tc>
          <w:tcPr>
            <w:tcW w:type="dxa" w:w="2880"/>
          </w:tcPr>
          <w:p>
            <w:r>
              <w:t>Clean, *OH, *O, and tightened rerun *OOH endpoints are validated; full DG1-DG4 table is computed</w:t>
            </w:r>
          </w:p>
        </w:tc>
        <w:tc>
          <w:tcPr>
            <w:tcW w:type="dxa" w:w="2880"/>
          </w:tcPr>
          <w:p>
            <w:r>
              <w:t>Addressed at electronic-energy CHE screening level</w:t>
            </w:r>
          </w:p>
        </w:tc>
      </w:tr>
      <w:tr>
        <w:tc>
          <w:tcPr>
            <w:tcW w:type="dxa" w:w="2880"/>
          </w:tcPr>
          <w:p>
            <w:r>
              <w:t>Clarify H uptake and water/hydroxyl evidence</w:t>
            </w:r>
          </w:p>
        </w:tc>
        <w:tc>
          <w:tcPr>
            <w:tcW w:type="dxa" w:w="2880"/>
          </w:tcPr>
          <w:p>
            <w:r>
              <w:t>First-wave RuO2-derived proxy shows exothermic H uptake and dissociative H2O stabilization; second-wave h-RuOx CHE uses the amorphous model</w:t>
            </w:r>
          </w:p>
        </w:tc>
        <w:tc>
          <w:tcPr>
            <w:tcW w:type="dxa" w:w="2880"/>
          </w:tcPr>
          <w:p>
            <w:r>
              <w:t>Use proxy values only as background feasibility evidence, not direct proof of h-RuOx H uptake</w:t>
            </w:r>
          </w:p>
        </w:tc>
      </w:tr>
      <w:tr>
        <w:tc>
          <w:tcPr>
            <w:tcW w:type="dxa" w:w="2880"/>
          </w:tcPr>
          <w:p>
            <w:r>
              <w:t>Avoid relabeling missing values</w:t>
            </w:r>
          </w:p>
        </w:tc>
        <w:tc>
          <w:tcPr>
            <w:tcW w:type="dxa" w:w="2880"/>
          </w:tcPr>
          <w:p>
            <w:r>
              <w:t>Exact OH adsorption/product-desorption pairs and ESP-isosurface artifacts are not present as validated current outputs</w:t>
            </w:r>
          </w:p>
        </w:tc>
        <w:tc>
          <w:tcPr>
            <w:tcW w:type="dxa" w:w="2880"/>
          </w:tcPr>
          <w:p>
            <w:r>
              <w:t>Mark unavailable rather than relabeling proxy or failed CHE quantities</w:t>
            </w:r>
          </w:p>
        </w:tc>
      </w:tr>
    </w:tbl>
    <w:p>
      <w:pPr>
        <w:pStyle w:val="Heading1"/>
      </w:pPr>
      <w:r>
        <w:t>Model Comparison</w:t>
      </w:r>
    </w:p>
    <w:p>
      <w:r>
        <w:t>The second-wave model is a reconstructed hydrous amorphous h-RuOx model, not a crystalline RuO2 slab with vacancy/proton/water substitutions. The parent Ru24O46H8 structure was generated from a hydroxylated/oxygen-deficient Ru-O-H precursor, disordered by AIMD, and relaxed after AIMD before slab construction.</w:t>
      </w:r>
    </w:p>
    <w:p>
      <w:r>
        <w:t>The anh-RuO2(110)-like first-wave surface remains useful only as a crystalline anhydrous comparator and as background feasibility evidence. It is not used as a surrogate proof for h-RuOx H uptake.</w:t>
      </w:r>
    </w:p>
    <w:p>
      <w:r>
        <w:rPr>
          <w:i/>
          <w:sz w:val="18"/>
        </w:rPr>
        <w:t>Table 2. h-RuOx amorphous model compared with the anh-RuO2(110)-like crystalline comparator.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Observable</w:t>
            </w:r>
          </w:p>
        </w:tc>
        <w:tc>
          <w:tcPr>
            <w:tcW w:type="dxa" w:w="2880"/>
          </w:tcPr>
          <w:p>
            <w:r>
              <w:t>h-RuOx AIMD-derived model</w:t>
            </w:r>
          </w:p>
        </w:tc>
        <w:tc>
          <w:tcPr>
            <w:tcW w:type="dxa" w:w="2880"/>
          </w:tcPr>
          <w:p>
            <w:r>
              <w:t>anh-RuO2(110)-like comparator</w:t>
            </w:r>
          </w:p>
        </w:tc>
      </w:tr>
      <w:tr>
        <w:tc>
          <w:tcPr>
            <w:tcW w:type="dxa" w:w="2880"/>
          </w:tcPr>
          <w:p>
            <w:r>
              <w:t>Model origin</w:t>
            </w:r>
          </w:p>
        </w:tc>
        <w:tc>
          <w:tcPr>
            <w:tcW w:type="dxa" w:w="2880"/>
          </w:tcPr>
          <w:p>
            <w:r>
              <w:t>Ru24O46H8 hydroxylated/oxygen-deficient precursor; AIMD disordering/quench; post-AIMD relaxation</w:t>
            </w:r>
          </w:p>
        </w:tc>
        <w:tc>
          <w:tcPr>
            <w:tcW w:type="dxa" w:w="2880"/>
          </w:tcPr>
          <w:p>
            <w:r>
              <w:t>Rutile RuO2-derived crystalline (110) slab from first-wave construction</w:t>
            </w:r>
          </w:p>
        </w:tc>
      </w:tr>
      <w:tr>
        <w:tc>
          <w:tcPr>
            <w:tcW w:type="dxa" w:w="2880"/>
          </w:tcPr>
          <w:p>
            <w:r>
              <w:t>Thermodynamic role</w:t>
            </w:r>
          </w:p>
        </w:tc>
        <w:tc>
          <w:tcPr>
            <w:tcW w:type="dxa" w:w="2880"/>
          </w:tcPr>
          <w:p>
            <w:r>
              <w:t>Main model for second-wave h-RuOx slab and CHE endpoint screening</w:t>
            </w:r>
          </w:p>
        </w:tc>
        <w:tc>
          <w:tcPr>
            <w:tcW w:type="dxa" w:w="2880"/>
          </w:tcPr>
          <w:p>
            <w:r>
              <w:t>Crystalline anhydrous comparator only</w:t>
            </w:r>
          </w:p>
        </w:tc>
      </w:tr>
      <w:tr>
        <w:tc>
          <w:tcPr>
            <w:tcW w:type="dxa" w:w="2880"/>
          </w:tcPr>
          <w:p>
            <w:r>
              <w:t>Hydroxyl content</w:t>
            </w:r>
          </w:p>
        </w:tc>
        <w:tc>
          <w:tcPr>
            <w:tcW w:type="dxa" w:w="2880"/>
          </w:tcPr>
          <w:p>
            <w:r>
              <w:t>Distributed O-H motifs in the hydrous precursor; relaxed bulk audit shows short O-H contacts near 0.987-0.994 A</w:t>
            </w:r>
          </w:p>
        </w:tc>
        <w:tc>
          <w:tcPr>
            <w:tcW w:type="dxa" w:w="2880"/>
          </w:tcPr>
          <w:p>
            <w:r>
              <w:t>Stoichiometric clean surface has no H; protonated surface comparator has O-H = 0.9706 A</w:t>
            </w:r>
          </w:p>
        </w:tc>
      </w:tr>
      <w:tr>
        <w:tc>
          <w:tcPr>
            <w:tcW w:type="dxa" w:w="2880"/>
          </w:tcPr>
          <w:p>
            <w:r>
              <w:t>Validation status</w:t>
            </w:r>
          </w:p>
        </w:tc>
        <w:tc>
          <w:tcPr>
            <w:tcW w:type="dxa" w:w="2880"/>
          </w:tcPr>
          <w:p>
            <w:r>
              <w:t>Bulk relaxation job 666068 and clean slab job 666151 parser-converged; AIMD energies excluded from thermodynamics</w:t>
            </w:r>
          </w:p>
        </w:tc>
        <w:tc>
          <w:tcPr>
            <w:tcW w:type="dxa" w:w="2880"/>
          </w:tcPr>
          <w:p>
            <w:r>
              <w:t>First-wave static surface calculations parser-validated</w:t>
            </w:r>
          </w:p>
        </w:tc>
      </w:tr>
      <w:tr>
        <w:tc>
          <w:tcPr>
            <w:tcW w:type="dxa" w:w="2880"/>
          </w:tcPr>
          <w:p>
            <w:r>
              <w:t>Use in response</w:t>
            </w:r>
          </w:p>
        </w:tc>
        <w:tc>
          <w:tcPr>
            <w:tcW w:type="dxa" w:w="2880"/>
          </w:tcPr>
          <w:p>
            <w:r>
              <w:t>Primary reconstructed h-RuOx model for OER intermediate energetics</w:t>
            </w:r>
          </w:p>
        </w:tc>
        <w:tc>
          <w:tcPr>
            <w:tcW w:type="dxa" w:w="2880"/>
          </w:tcPr>
          <w:p>
            <w:r>
              <w:t>Background comparator; not evidence for h-RuOx H uptake</w:t>
            </w:r>
          </w:p>
        </w:tc>
      </w:tr>
    </w:tbl>
    <w:p>
      <w:pPr>
        <w:pStyle w:val="Heading1"/>
      </w:pPr>
      <w:r>
        <w:t>Complete CHE Profile</w:t>
      </w:r>
    </w:p>
    <w:p>
      <w:r>
        <w:t>The final second-wave CHE update uses only validated endpoints from the current jobs. The tightened rerun *OOH job 667108 completed normally, reached EDIFFG = -0.03 eV/A, and passed the VASP parser.</w:t>
      </w:r>
    </w:p>
    <w:p>
      <w:r>
        <w:t>The complete four-step profile is an electronic-energy CHE screening result. The calculations do not include ZPE, finite-temperature, entropy, solvation, pH, or constant-potential corrections.</w:t>
      </w:r>
    </w:p>
    <w:p>
      <w:r>
        <w:rPr>
          <w:i/>
          <w:sz w:val="18"/>
        </w:rPr>
        <w:t>Table 3. Endpoint validation status for the complete h-RuOx CHE update.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State</w:t>
            </w:r>
          </w:p>
        </w:tc>
        <w:tc>
          <w:tcPr>
            <w:tcW w:type="dxa" w:w="1234"/>
          </w:tcPr>
          <w:p>
            <w:r>
              <w:t>Job/source</w:t>
            </w:r>
          </w:p>
        </w:tc>
        <w:tc>
          <w:tcPr>
            <w:tcW w:type="dxa" w:w="1234"/>
          </w:tcPr>
          <w:p>
            <w:r>
              <w:t>Parser verdict</w:t>
            </w:r>
          </w:p>
        </w:tc>
        <w:tc>
          <w:tcPr>
            <w:tcW w:type="dxa" w:w="1234"/>
          </w:tcPr>
          <w:p>
            <w:r>
              <w:t>Ionic steps</w:t>
            </w:r>
          </w:p>
        </w:tc>
        <w:tc>
          <w:tcPr>
            <w:tcW w:type="dxa" w:w="1234"/>
          </w:tcPr>
          <w:p>
            <w:r>
              <w:t>Force criterion (eV/A)</w:t>
            </w:r>
          </w:p>
        </w:tc>
        <w:tc>
          <w:tcPr>
            <w:tcW w:type="dxa" w:w="1234"/>
          </w:tcPr>
          <w:p>
            <w:r>
              <w:t>Max free-atom force (eV/A)</w:t>
            </w:r>
          </w:p>
        </w:tc>
        <w:tc>
          <w:tcPr>
            <w:tcW w:type="dxa" w:w="1234"/>
          </w:tcPr>
          <w:p>
            <w:r>
              <w:t>Report use</w:t>
            </w:r>
          </w:p>
        </w:tc>
      </w:tr>
      <w:tr>
        <w:tc>
          <w:tcPr>
            <w:tcW w:type="dxa" w:w="1234"/>
          </w:tcPr>
          <w:p>
            <w:r>
              <w:t>*</w:t>
            </w:r>
          </w:p>
        </w:tc>
        <w:tc>
          <w:tcPr>
            <w:tcW w:type="dxa" w:w="1234"/>
          </w:tcPr>
          <w:p>
            <w:r>
              <w:t>666151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0.024636</w:t>
            </w:r>
          </w:p>
        </w:tc>
        <w:tc>
          <w:tcPr>
            <w:tcW w:type="dxa" w:w="1234"/>
          </w:tcPr>
          <w:p>
            <w:r>
              <w:t>Accepted clean-state endpoint</w:t>
            </w:r>
          </w:p>
        </w:tc>
      </w:tr>
      <w:tr>
        <w:tc>
          <w:tcPr>
            <w:tcW w:type="dxa" w:w="1234"/>
          </w:tcPr>
          <w:p>
            <w:r>
              <w:t>*OH</w:t>
            </w:r>
          </w:p>
        </w:tc>
        <w:tc>
          <w:tcPr>
            <w:tcW w:type="dxa" w:w="1234"/>
          </w:tcPr>
          <w:p>
            <w:r>
              <w:t>666669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0.018878</w:t>
            </w:r>
          </w:p>
        </w:tc>
        <w:tc>
          <w:tcPr>
            <w:tcW w:type="dxa" w:w="1234"/>
          </w:tcPr>
          <w:p>
            <w:r>
              <w:t>Accepted *OH endpoint</w:t>
            </w:r>
          </w:p>
        </w:tc>
      </w:tr>
      <w:tr>
        <w:tc>
          <w:tcPr>
            <w:tcW w:type="dxa" w:w="1234"/>
          </w:tcPr>
          <w:p>
            <w:r>
              <w:t>*O</w:t>
            </w:r>
          </w:p>
        </w:tc>
        <w:tc>
          <w:tcPr>
            <w:tcW w:type="dxa" w:w="1234"/>
          </w:tcPr>
          <w:p>
            <w:r>
              <w:t>666401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0.022106</w:t>
            </w:r>
          </w:p>
        </w:tc>
        <w:tc>
          <w:tcPr>
            <w:tcW w:type="dxa" w:w="1234"/>
          </w:tcPr>
          <w:p>
            <w:r>
              <w:t>Accepted *O endpoint</w:t>
            </w:r>
          </w:p>
        </w:tc>
      </w:tr>
      <w:tr>
        <w:tc>
          <w:tcPr>
            <w:tcW w:type="dxa" w:w="1234"/>
          </w:tcPr>
          <w:p>
            <w:r>
              <w:t>*OOH</w:t>
            </w:r>
          </w:p>
        </w:tc>
        <w:tc>
          <w:tcPr>
            <w:tcW w:type="dxa" w:w="1234"/>
          </w:tcPr>
          <w:p>
            <w:r>
              <w:t>667108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0.024505</w:t>
            </w:r>
          </w:p>
        </w:tc>
        <w:tc>
          <w:tcPr>
            <w:tcW w:type="dxa" w:w="1234"/>
          </w:tcPr>
          <w:p>
            <w:r>
              <w:t>Accepted tightened rerun *OOH endpoint</w:t>
            </w:r>
          </w:p>
        </w:tc>
      </w:tr>
    </w:tbl>
    <w:p>
      <w:r>
        <w:rPr>
          <w:i/>
          <w:sz w:val="18"/>
        </w:rPr>
        <w:t>Table 4. Complete electronic-energy CHE profile at U = 0 V and pH = 0. O2 is back-calculated from 2H2O -&gt; O2 + 2H2 with DG = 4.92 eV.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Reaction</w:t>
            </w:r>
          </w:p>
        </w:tc>
        <w:tc>
          <w:tcPr>
            <w:tcW w:type="dxa" w:w="2160"/>
          </w:tcPr>
          <w:p>
            <w:r>
              <w:t>DG (eV)</w:t>
            </w:r>
          </w:p>
        </w:tc>
        <w:tc>
          <w:tcPr>
            <w:tcW w:type="dxa" w:w="2160"/>
          </w:tcPr>
          <w:p>
            <w:r>
              <w:t>DG - 1.23 eV (eV)</w:t>
            </w:r>
          </w:p>
        </w:tc>
      </w:tr>
      <w:tr>
        <w:tc>
          <w:tcPr>
            <w:tcW w:type="dxa" w:w="2160"/>
          </w:tcPr>
          <w:p>
            <w:r>
              <w:t>DG1</w:t>
            </w:r>
          </w:p>
        </w:tc>
        <w:tc>
          <w:tcPr>
            <w:tcW w:type="dxa" w:w="2160"/>
          </w:tcPr>
          <w:p>
            <w:r>
              <w:t>* + H2O -&gt; *OH + H+ + e-</w:t>
            </w:r>
          </w:p>
        </w:tc>
        <w:tc>
          <w:tcPr>
            <w:tcW w:type="dxa" w:w="2160"/>
          </w:tcPr>
          <w:p>
            <w:r>
              <w:t>-0.131915</w:t>
            </w:r>
          </w:p>
        </w:tc>
        <w:tc>
          <w:tcPr>
            <w:tcW w:type="dxa" w:w="2160"/>
          </w:tcPr>
          <w:p>
            <w:r>
              <w:t>-1.361915</w:t>
            </w:r>
          </w:p>
        </w:tc>
      </w:tr>
      <w:tr>
        <w:tc>
          <w:tcPr>
            <w:tcW w:type="dxa" w:w="2160"/>
          </w:tcPr>
          <w:p>
            <w:r>
              <w:t>DG2</w:t>
            </w:r>
          </w:p>
        </w:tc>
        <w:tc>
          <w:tcPr>
            <w:tcW w:type="dxa" w:w="2160"/>
          </w:tcPr>
          <w:p>
            <w:r>
              <w:t>*OH -&gt; *O + H+ + e-</w:t>
            </w:r>
          </w:p>
        </w:tc>
        <w:tc>
          <w:tcPr>
            <w:tcW w:type="dxa" w:w="2160"/>
          </w:tcPr>
          <w:p>
            <w:r>
              <w:t>-0.220095</w:t>
            </w:r>
          </w:p>
        </w:tc>
        <w:tc>
          <w:tcPr>
            <w:tcW w:type="dxa" w:w="2160"/>
          </w:tcPr>
          <w:p>
            <w:r>
              <w:t>-1.450095</w:t>
            </w:r>
          </w:p>
        </w:tc>
      </w:tr>
      <w:tr>
        <w:tc>
          <w:tcPr>
            <w:tcW w:type="dxa" w:w="2160"/>
          </w:tcPr>
          <w:p>
            <w:r>
              <w:t>DG3</w:t>
            </w:r>
          </w:p>
        </w:tc>
        <w:tc>
          <w:tcPr>
            <w:tcW w:type="dxa" w:w="2160"/>
          </w:tcPr>
          <w:p>
            <w:r>
              <w:t>*O + H2O -&gt; *OOH + H+ + e-</w:t>
            </w:r>
          </w:p>
        </w:tc>
        <w:tc>
          <w:tcPr>
            <w:tcW w:type="dxa" w:w="2160"/>
          </w:tcPr>
          <w:p>
            <w:r>
              <w:t>2.152844</w:t>
            </w:r>
          </w:p>
        </w:tc>
        <w:tc>
          <w:tcPr>
            <w:tcW w:type="dxa" w:w="2160"/>
          </w:tcPr>
          <w:p>
            <w:r>
              <w:t>0.922844</w:t>
            </w:r>
          </w:p>
        </w:tc>
      </w:tr>
      <w:tr>
        <w:tc>
          <w:tcPr>
            <w:tcW w:type="dxa" w:w="2160"/>
          </w:tcPr>
          <w:p>
            <w:r>
              <w:t>DG4</w:t>
            </w:r>
          </w:p>
        </w:tc>
        <w:tc>
          <w:tcPr>
            <w:tcW w:type="dxa" w:w="2160"/>
          </w:tcPr>
          <w:p>
            <w:r>
              <w:t>*OOH -&gt; * + O2 + H+ + e-</w:t>
            </w:r>
          </w:p>
        </w:tc>
        <w:tc>
          <w:tcPr>
            <w:tcW w:type="dxa" w:w="2160"/>
          </w:tcPr>
          <w:p>
            <w:r>
              <w:t>3.119166</w:t>
            </w:r>
          </w:p>
        </w:tc>
        <w:tc>
          <w:tcPr>
            <w:tcW w:type="dxa" w:w="2160"/>
          </w:tcPr>
          <w:p>
            <w:r>
              <w:t>1.889166</w:t>
            </w:r>
          </w:p>
        </w:tc>
      </w:tr>
      <w:tr>
        <w:tc>
          <w:tcPr>
            <w:tcW w:type="dxa" w:w="2160"/>
          </w:tcPr>
          <w:p>
            <w:r>
              <w:t>Limiting potential</w:t>
            </w:r>
          </w:p>
        </w:tc>
        <w:tc>
          <w:tcPr>
            <w:tcW w:type="dxa" w:w="2160"/>
          </w:tcPr>
          <w:p>
            <w:r>
              <w:t>max(DG1-DG4)</w:t>
            </w:r>
          </w:p>
        </w:tc>
        <w:tc>
          <w:tcPr>
            <w:tcW w:type="dxa" w:w="2160"/>
          </w:tcPr>
          <w:p>
            <w:r>
              <w:t>3.119166 V vs RHE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Overpotential</w:t>
            </w:r>
          </w:p>
        </w:tc>
        <w:tc>
          <w:tcPr>
            <w:tcW w:type="dxa" w:w="2160"/>
          </w:tcPr>
          <w:p>
            <w:r>
              <w:t>max(DG1-DG4) - 1.23 V</w:t>
            </w:r>
          </w:p>
        </w:tc>
        <w:tc>
          <w:tcPr>
            <w:tcW w:type="dxa" w:w="2160"/>
          </w:tcPr>
          <w:p>
            <w:r>
              <w:t>1.889166 V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Proxy Evidence</w:t>
      </w:r>
    </w:p>
    <w:p>
      <w:r>
        <w:t>The first-wave crystalline RuO2-derived models are retained only as background feasibility checks for proton uptake and hydroxylated/coordinated-water motifs. They should not be presented as direct h-RuOx H uptake calculations.</w:t>
      </w:r>
    </w:p>
    <w:p>
      <w:r>
        <w:t>Within that proxy scope, internal H uptake is exothermic but less favorable than the surface-H comparator. Dissociative H2O uptake is exothermic for both the surface vacancy and internal vacancy proxies, supporting the plausibility of stable OH/coordinated-water motifs in defect-rich RuOx.</w:t>
      </w:r>
    </w:p>
    <w:p>
      <w:r>
        <w:rPr>
          <w:i/>
          <w:sz w:val="18"/>
        </w:rPr>
        <w:t>Table 5. First-wave proxy H uptake electronic energies in eV. Negative values indicate exothermic uptake. Reference states are clean host plus 0.5 H2.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Delta E (eV)</w:t>
            </w:r>
          </w:p>
        </w:tc>
        <w:tc>
          <w:tcPr>
            <w:tcW w:type="dxa" w:w="2160"/>
          </w:tcPr>
          <w:p>
            <w:r>
              <w:t>Formula</w:t>
            </w:r>
          </w:p>
        </w:tc>
        <w:tc>
          <w:tcPr>
            <w:tcW w:type="dxa" w:w="2160"/>
          </w:tcPr>
          <w:p>
            <w:r>
              <w:t>Allowed interpretation</w:t>
            </w:r>
          </w:p>
        </w:tc>
      </w:tr>
      <w:tr>
        <w:tc>
          <w:tcPr>
            <w:tcW w:type="dxa" w:w="2160"/>
          </w:tcPr>
          <w:p>
            <w:r>
              <w:t>H uptake on stoichiometric RuO2(110)</w:t>
            </w:r>
          </w:p>
        </w:tc>
        <w:tc>
          <w:tcPr>
            <w:tcW w:type="dxa" w:w="2160"/>
          </w:tcPr>
          <w:p>
            <w:r>
              <w:t>-1.0719</w:t>
            </w:r>
          </w:p>
        </w:tc>
        <w:tc>
          <w:tcPr>
            <w:tcW w:type="dxa" w:w="2160"/>
          </w:tcPr>
          <w:p>
            <w:r>
              <w:t>E(surface_H) - E(surface_clean) - 0.5 E(H2)</w:t>
            </w:r>
          </w:p>
        </w:tc>
        <w:tc>
          <w:tcPr>
            <w:tcW w:type="dxa" w:w="2160"/>
          </w:tcPr>
          <w:p>
            <w:r>
              <w:t>Surface-only protonation comparator</w:t>
            </w:r>
          </w:p>
        </w:tc>
      </w:tr>
      <w:tr>
        <w:tc>
          <w:tcPr>
            <w:tcW w:type="dxa" w:w="2160"/>
          </w:tcPr>
          <w:p>
            <w:r>
              <w:t>Internal H uptake in crystalline RuO2 proxy</w:t>
            </w:r>
          </w:p>
        </w:tc>
        <w:tc>
          <w:tcPr>
            <w:tcW w:type="dxa" w:w="2160"/>
          </w:tcPr>
          <w:p>
            <w:r>
              <w:t>-0.1419</w:t>
            </w:r>
          </w:p>
        </w:tc>
        <w:tc>
          <w:tcPr>
            <w:tcW w:type="dxa" w:w="2160"/>
          </w:tcPr>
          <w:p>
            <w:r>
              <w:t>E(bulk_H_internal) - E(bulk_clean) - 0.5 E(H2)</w:t>
            </w:r>
          </w:p>
        </w:tc>
        <w:tc>
          <w:tcPr>
            <w:tcW w:type="dxa" w:w="2160"/>
          </w:tcPr>
          <w:p>
            <w:r>
              <w:t>Feasibility check for internal proton-containing states</w:t>
            </w:r>
          </w:p>
        </w:tc>
      </w:tr>
      <w:tr>
        <w:tc>
          <w:tcPr>
            <w:tcW w:type="dxa" w:w="2160"/>
          </w:tcPr>
          <w:p>
            <w:r>
              <w:t>Internal H uptake minus surface H uptake</w:t>
            </w:r>
          </w:p>
        </w:tc>
        <w:tc>
          <w:tcPr>
            <w:tcW w:type="dxa" w:w="2160"/>
          </w:tcPr>
          <w:p>
            <w:r>
              <w:t>+0.9300</w:t>
            </w:r>
          </w:p>
        </w:tc>
        <w:tc>
          <w:tcPr>
            <w:tcW w:type="dxa" w:w="2160"/>
          </w:tcPr>
          <w:p>
            <w:r>
              <w:t>DeltaE_internal - DeltaE_surface</w:t>
            </w:r>
          </w:p>
        </w:tc>
        <w:tc>
          <w:tcPr>
            <w:tcW w:type="dxa" w:w="2160"/>
          </w:tcPr>
          <w:p>
            <w:r>
              <w:t>Surface protonation is more exothermic in this proxy comparison</w:t>
            </w:r>
          </w:p>
        </w:tc>
      </w:tr>
    </w:tbl>
    <w:p>
      <w:r>
        <w:rPr>
          <w:i/>
          <w:sz w:val="18"/>
        </w:rPr>
        <w:t>Table 6. First-wave proxy dissociative H2O uptake electronic energies in eV. Negative values indicate exothermic uptake. Reference states are O-vacancy host plus gas-phase H2O.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Delta E (eV)</w:t>
            </w:r>
          </w:p>
        </w:tc>
        <w:tc>
          <w:tcPr>
            <w:tcW w:type="dxa" w:w="2160"/>
          </w:tcPr>
          <w:p>
            <w:r>
              <w:t>Formula</w:t>
            </w:r>
          </w:p>
        </w:tc>
        <w:tc>
          <w:tcPr>
            <w:tcW w:type="dxa" w:w="2160"/>
          </w:tcPr>
          <w:p>
            <w:r>
              <w:t>Allowed interpretation</w:t>
            </w:r>
          </w:p>
        </w:tc>
      </w:tr>
      <w:tr>
        <w:tc>
          <w:tcPr>
            <w:tcW w:type="dxa" w:w="2160"/>
          </w:tcPr>
          <w:p>
            <w:r>
              <w:t>Dissociative H2O uptake at surface O vacancy</w:t>
            </w:r>
          </w:p>
        </w:tc>
        <w:tc>
          <w:tcPr>
            <w:tcW w:type="dxa" w:w="2160"/>
          </w:tcPr>
          <w:p>
            <w:r>
              <w:t>-1.1163</w:t>
            </w:r>
          </w:p>
        </w:tc>
        <w:tc>
          <w:tcPr>
            <w:tcW w:type="dxa" w:w="2160"/>
          </w:tcPr>
          <w:p>
            <w:r>
              <w:t>E(surface_Ovac_H2O_diss) - E(surface_Ovac) - E(H2O)</w:t>
            </w:r>
          </w:p>
        </w:tc>
        <w:tc>
          <w:tcPr>
            <w:tcW w:type="dxa" w:w="2160"/>
          </w:tcPr>
          <w:p>
            <w:r>
              <w:t>Surface CUS/vacancy hydroxylation comparator</w:t>
            </w:r>
          </w:p>
        </w:tc>
      </w:tr>
      <w:tr>
        <w:tc>
          <w:tcPr>
            <w:tcW w:type="dxa" w:w="2160"/>
          </w:tcPr>
          <w:p>
            <w:r>
              <w:t>Dissociative H2O uptake at internal O vacancy</w:t>
            </w:r>
          </w:p>
        </w:tc>
        <w:tc>
          <w:tcPr>
            <w:tcW w:type="dxa" w:w="2160"/>
          </w:tcPr>
          <w:p>
            <w:r>
              <w:t>-1.4266</w:t>
            </w:r>
          </w:p>
        </w:tc>
        <w:tc>
          <w:tcPr>
            <w:tcW w:type="dxa" w:w="2160"/>
          </w:tcPr>
          <w:p>
            <w:r>
              <w:t>E(bulk_Ovac_H2O_diss_internal) - E(bulk_Ovac_internal) - E(H2O)</w:t>
            </w:r>
          </w:p>
        </w:tc>
        <w:tc>
          <w:tcPr>
            <w:tcW w:type="dxa" w:w="2160"/>
          </w:tcPr>
          <w:p>
            <w:r>
              <w:t>Internal coordinated-water proxy</w:t>
            </w:r>
          </w:p>
        </w:tc>
      </w:tr>
      <w:tr>
        <w:tc>
          <w:tcPr>
            <w:tcW w:type="dxa" w:w="2160"/>
          </w:tcPr>
          <w:p>
            <w:r>
              <w:t>Internal minus surface H2O dissociation</w:t>
            </w:r>
          </w:p>
        </w:tc>
        <w:tc>
          <w:tcPr>
            <w:tcW w:type="dxa" w:w="2160"/>
          </w:tcPr>
          <w:p>
            <w:r>
              <w:t>-0.3103</w:t>
            </w:r>
          </w:p>
        </w:tc>
        <w:tc>
          <w:tcPr>
            <w:tcW w:type="dxa" w:w="2160"/>
          </w:tcPr>
          <w:p>
            <w:r>
              <w:t>DeltaE_internal - DeltaE_surface</w:t>
            </w:r>
          </w:p>
        </w:tc>
        <w:tc>
          <w:tcPr>
            <w:tcW w:type="dxa" w:w="2160"/>
          </w:tcPr>
          <w:p>
            <w:r>
              <w:t>Selected internal vacancy proxy is more exothermic than selected surface vacancy comparator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6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proton_uptak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1. First-wave proxy H uptake electronic energies from static VASP calculations on relaxed structures. Negative values indicate exothermic uptake relative to the clean host and 0.5 gas-phase H2.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9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face_H_top_side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2. Relaxed stoichiometric RuO2(110)+H proxy used for the surface H uptake comparator: (a) orthographic top view; (b) orthographic side view. Source: work/runs/first_wave/surface_H/relax/CONTCAR.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9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lk_H_internal_top_side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3. Relaxed internal H proxy used for the crystalline RuO2 proton-incorporation feasibility check: (a) orthographic top view; (b) orthographic side view. Source: work/runs/first_wave/bulk_H_internal/relax/CONTCAR.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6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water_hydroxy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4. First-wave proxy dissociative H2O uptake electronic energies from static VASP calculations on relaxed O-vacancy structures. Negative values indicate exothermic uptake relative to the vacancy host and gas-phase H2O.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98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face_Ovac_H2O_diss_top_side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5. Relaxed surface O-vacancy plus dissociated H2O proxy: (a) orthographic top view; (b) orthographic side view. Source: work/runs/first_wave/surface_Ovac_H2O_diss/relax/CONTCAR.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98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lk_Ovac_H2O_diss_internal_top_side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6. Relaxed internal O-vacancy plus dissociated H2O proxy: (a) orthographic top view; (b) orthographic side view. Source: work/runs/first_wave/bulk_Ovac_H2O_diss_internal/relax/CONTCAR.</w:t>
      </w:r>
    </w:p>
    <w:p>
      <w:pPr>
        <w:pStyle w:val="Heading1"/>
      </w:pPr>
      <w:r>
        <w:t>Reviewer Response Text</w:t>
      </w:r>
    </w:p>
    <w:p>
      <w:r>
        <w:t>We thank the reviewer for identifying the weakness in the previous theoretical discussion. We have revised the computational response so that the crystalline RuO2-derived vacancy/proton model is no longer used as evidence for H uptake in h-RuOx. Instead, the main h-RuOx OER model is a reconstructed hydrous amorphous RuOx slab derived from AIMD disordering and post-AIMD relaxation of a Ru24O46H8 precursor.</w:t>
      </w:r>
    </w:p>
    <w:p>
      <w:r>
        <w:t>Using the validated h-RuOx endpoint set, the complete electronic-energy CHE profile is DG1 = -0.131915 eV, DG2 = -0.220095 eV, DG3 = 2.152844 eV, and DG4 = 3.119166 eV at U = 0 V and pH = 0. The largest uphill step is DG4, giving U_L,OER = 3.119166 V vs RHE at pH 0 and eta = 1.889166 V.</w:t>
      </w:r>
    </w:p>
    <w:p>
      <w:r>
        <w:t>The earlier RuO2-derived proton/vacancy/water calculations are retained only as background feasibility checks. They show that proton-containing and hydroxylated/coordinated-water motifs can be electronically stable in defect-rich RuO2-derived environments, but they are not direct evidence for H uptake in h-RuOx and should not be worded as such.</w:t>
      </w:r>
    </w:p>
    <w:p>
      <w:r>
        <w:t>Electrostatic-potential isosurfaces and exact OH adsorption/product-desorption pairs are not present as validated current artifacts in this calculation package. They are therefore marked unavailable rather than fabricated or relabeled from different observables.</w:t>
      </w:r>
    </w:p>
    <w:p>
      <w:pPr>
        <w:pStyle w:val="Heading1"/>
      </w:pPr>
      <w:r>
        <w:t>Limitations</w:t>
      </w:r>
    </w:p>
    <w:p>
      <w:r>
        <w:t>This document is a draft for the authors. The h-RuOx result is a single representative amorphous site, vacuum electronic-energy CHE only, with no ZPE, entropy, solvation, pH, constant-potential, or site-statistics corrections.</w:t>
      </w:r>
    </w:p>
    <w:p>
      <w:r>
        <w:t>The tightened rerun *OOH endpoint passed EDIFFG = -0.03 eV/A, with max free-atom force 0.024505 eV/A. This threshold is disclosed in the endpoint table.</w:t>
      </w:r>
    </w:p>
    <w:p>
      <w:r>
        <w:t>The first-wave proxy results remain exploratory reconstructed models, not direct h-RuOx H uptake calculations.</w:t>
      </w:r>
    </w:p>
    <w:p>
      <w:pPr>
        <w:pStyle w:val="Heading1"/>
      </w:pPr>
      <w:r>
        <w:t>Calculation Directory Index</w:t>
      </w:r>
    </w:p>
    <w:p>
      <w:r>
        <w:t>This index maps report statements to raw directories and analysis artifacts so the authors can audit each number.</w:t>
      </w:r>
    </w:p>
    <w:p>
      <w:r>
        <w:rPr>
          <w:i/>
          <w:sz w:val="18"/>
        </w:rPr>
        <w:t>Table 7. Traceability map for tables, figures, and response claims.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item</w:t>
            </w:r>
          </w:p>
        </w:tc>
        <w:tc>
          <w:tcPr>
            <w:tcW w:type="dxa" w:w="4320"/>
          </w:tcPr>
          <w:p>
            <w:r>
              <w:t>Source artifacts</w:t>
            </w:r>
          </w:p>
        </w:tc>
      </w:tr>
      <w:tr>
        <w:tc>
          <w:tcPr>
            <w:tcW w:type="dxa" w:w="4320"/>
          </w:tcPr>
          <w:p>
            <w:r>
              <w:t>h-RuOx model construction</w:t>
            </w:r>
          </w:p>
        </w:tc>
        <w:tc>
          <w:tcPr>
            <w:tcW w:type="dxa" w:w="4320"/>
          </w:tcPr>
          <w:p>
            <w:r>
              <w:t>work/structures/second_wave_hruox; work/analysis/second_wave_bulk_relax_from_aimd_result.json; work/analysis/second_wave_slab_clean_relax_algoall_result.json</w:t>
            </w:r>
          </w:p>
        </w:tc>
      </w:tr>
      <w:tr>
        <w:tc>
          <w:tcPr>
            <w:tcW w:type="dxa" w:w="4320"/>
          </w:tcPr>
          <w:p>
            <w:r>
              <w:t>Complete CHE endpoint table</w:t>
            </w:r>
          </w:p>
        </w:tc>
        <w:tc>
          <w:tcPr>
            <w:tcW w:type="dxa" w:w="4320"/>
          </w:tcPr>
          <w:p>
            <w:r>
              <w:t>work/analysis/second_wave_oer_che_profile.json; work/analysis/second_wave_oer_che_profile.csv; work/reviews/second_wave_oer_che_result_gate.yaml</w:t>
            </w:r>
          </w:p>
        </w:tc>
      </w:tr>
      <w:tr>
        <w:tc>
          <w:tcPr>
            <w:tcW w:type="dxa" w:w="4320"/>
          </w:tcPr>
          <w:p>
            <w:r>
              <w:t>*OH validation</w:t>
            </w:r>
          </w:p>
        </w:tc>
        <w:tc>
          <w:tcPr>
            <w:tcW w:type="dxa" w:w="4320"/>
          </w:tcPr>
          <w:p>
            <w:r>
              <w:t>work/runs/second_wave_hruox/hruox_slab_oh_relax; work/analysis/second_wave_oh_relaxed_666669_audit.json</w:t>
            </w:r>
          </w:p>
        </w:tc>
      </w:tr>
      <w:tr>
        <w:tc>
          <w:tcPr>
            <w:tcW w:type="dxa" w:w="4320"/>
          </w:tcPr>
          <w:p>
            <w:r>
              <w:t>*OOH validation</w:t>
            </w:r>
          </w:p>
        </w:tc>
        <w:tc>
          <w:tcPr>
            <w:tcW w:type="dxa" w:w="4320"/>
          </w:tcPr>
          <w:p>
            <w:r>
              <w:t>work/runs/second_wave_hruox/hruox_slab_ooh_relax; work/analysis/second_wave_ooh_relaxed_667108_audit.json</w:t>
            </w:r>
          </w:p>
        </w:tc>
      </w:tr>
      <w:tr>
        <w:tc>
          <w:tcPr>
            <w:tcW w:type="dxa" w:w="4320"/>
          </w:tcPr>
          <w:p>
            <w:r>
              <w:t>First-wave H uptake proxy</w:t>
            </w:r>
          </w:p>
        </w:tc>
        <w:tc>
          <w:tcPr>
            <w:tcW w:type="dxa" w:w="4320"/>
          </w:tcPr>
          <w:p>
            <w:r>
              <w:t>work/analysis/relative_energies.csv; work/figures/energy_proton_uptake.png; work/figures/structures/surface_H_top_side_panel.png; work/figures/structures/bulk_H_internal_top_side_panel.png</w:t>
            </w:r>
          </w:p>
        </w:tc>
      </w:tr>
      <w:tr>
        <w:tc>
          <w:tcPr>
            <w:tcW w:type="dxa" w:w="4320"/>
          </w:tcPr>
          <w:p>
            <w:r>
              <w:t>First-wave water/hydroxylation proxy</w:t>
            </w:r>
          </w:p>
        </w:tc>
        <w:tc>
          <w:tcPr>
            <w:tcW w:type="dxa" w:w="4320"/>
          </w:tcPr>
          <w:p>
            <w:r>
              <w:t>work/analysis/relative_energies.csv; work/analysis/geometry_metrics.csv; work/figures/energy_water_hydroxylation.png; work/figures/structures/surface_Ovac_H2O_diss_top_side_panel.png; work/figures/structures/bulk_Ovac_H2O_diss_internal_top_side_panel.png</w:t>
            </w:r>
          </w:p>
        </w:tc>
      </w:tr>
      <w:tr>
        <w:tc>
          <w:tcPr>
            <w:tcW w:type="dxa" w:w="4320"/>
          </w:tcPr>
          <w:p>
            <w:r>
              <w:t>Reviewer-response snippets</w:t>
            </w:r>
          </w:p>
        </w:tc>
        <w:tc>
          <w:tcPr>
            <w:tcW w:type="dxa" w:w="4320"/>
          </w:tcPr>
          <w:p>
            <w:r>
              <w:t>work/analysis/second_wave_response_text_snippets.md; work/reports/second_wave_reviewer_response_update.md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