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ПОЛИТИКА ВОЗВРАТОВ</w:t>
      </w:r>
    </w:p>
    <w:p>
      <w:pPr>
        <w:ind w:firstLine="0"/>
        <w:jc w:val="center"/>
      </w:pPr>
      <w:r>
        <w:rPr>
          <w:rFonts w:ascii="Tinos" w:hAnsi="Tinos"/>
          <w:b/>
          <w:sz w:val="24"/>
        </w:rPr>
        <w:t>Destka</w:t>
      </w:r>
    </w:p>
    <w:p>
      <w:pPr>
        <w:spacing w:after="200"/>
        <w:ind w:firstLine="0"/>
        <w:jc w:val="center"/>
      </w:pPr>
      <w:r>
        <w:t>Редакция 1.0</w:t>
      </w:r>
    </w:p>
    <w:p>
      <w:pPr/>
      <w:r>
        <w:t>Настоящая Политика возвратов разъясняет основания, порядок и сроки возврата денежных средств за платную услугу временного цифрового размещения контента на Платформе Destka. Термины с заглавной буквы используются в значениях Публичной оферты и Пользовательского соглашения.</w:t>
      </w:r>
    </w:p>
    <w:p>
      <w:pPr/>
      <w:r>
        <w:t>Публичная оферта является источником договорных и экономических условий конкретного оплаченного Заказа. Настоящая Политика разъясняет порядок их применения и не ограничивает обязательные права Пользователя, установленные законодательством Российской Федерации.</w:t>
      </w:r>
    </w:p>
    <w:p>
      <w:pPr>
        <w:pStyle w:val="Heading1"/>
        <w:ind w:firstLine="0"/>
      </w:pPr>
      <w:r>
        <w:t>1. Основные принципы</w:t>
      </w:r>
    </w:p>
    <w:p>
      <w:pPr/>
      <w:r>
        <w:t>Пользователь вправе отказаться от договора оказания услуг в случаях и порядке, предусмотренных законом и Публичной офертой.</w:t>
      </w:r>
    </w:p>
    <w:p>
      <w:pPr/>
      <w:r>
        <w:t>Если Пользователю причитается полный возврат, внутренние комиссии платёжной инфраструктуры, налоги, выплаты третьим лицам и иные внутренние расходы Исполнителя сами по себе не уменьшают сумму, подлежащую возврату.</w:t>
      </w:r>
    </w:p>
    <w:p>
      <w:pPr/>
      <w:r>
        <w:t>Комиссия эквайринга не удерживается с Пользователя только на том основании, что она была удержана с Исполнителя при первоначальном платеже.</w:t>
      </w:r>
    </w:p>
    <w:p>
      <w:pPr/>
      <w:r>
        <w:t>Переход браузера на страницу успешной оплаты сам по себе не подтверждает успешную оплату или выполнение Замещения. Платформа проверяет состояние платежа и Заказа по своим данным и данным платёжной инфраструктуры.</w:t>
      </w:r>
    </w:p>
    <w:p>
      <w:pPr/>
      <w:r>
        <w:t>Одна и та же сумма не возвращается дважды. Возвраты через Исполнителя и результаты банковского спора учитываются совместно.</w:t>
      </w:r>
    </w:p>
    <w:p>
      <w:pPr>
        <w:pStyle w:val="Heading1"/>
        <w:ind w:firstLine="0"/>
      </w:pPr>
      <w:r>
        <w:t>2. Полный возврат</w:t>
      </w:r>
    </w:p>
    <w:p>
      <w:pPr/>
      <w:r>
        <w:t>Полный возврат всей уплаченной суммы применяется, в частности, если подтверждённая оплата получена после истечения Бронирования и Замещение по истёкшим условиям не выполняется; при дублирующем успешном платеже за одну и ту же обязанность; если подтверждённая оплата получена, но Замещение технически не выполнено и Услуга не начата; а также в иных случаях, когда закон предоставляет право отказаться от договора и потребовать возврата всей суммы.</w:t>
      </w:r>
    </w:p>
    <w:p>
      <w:pPr/>
      <w:r>
        <w:t>Поздний платёж после истечения Бронирования и излишняя сумма дублирующего платежа возвращаются в течение 10 календарных дней в соответствии с Публичной офертой. Повторное техническое уведомление о том же платеже не является дублирующим платежом.</w:t>
      </w:r>
    </w:p>
    <w:p>
      <w:pPr>
        <w:pStyle w:val="Heading1"/>
        <w:ind w:firstLine="0"/>
      </w:pPr>
      <w:r>
        <w:t>3. Добровольный отказ до Замещения</w:t>
      </w:r>
    </w:p>
    <w:p>
      <w:pPr/>
      <w:r>
        <w:t>Пользователь вправе отказаться от Договора до успешного Замещения. Возвращается уплаченная сумма за вычетом только документально подтверждённых фактически понесённых расходов Исполнителя, непосредственно связанных с исполнением конкретного Заказа и подлежащих возмещению по закону.</w:t>
      </w:r>
    </w:p>
    <w:p>
      <w:pPr/>
      <w:r>
        <w:t>Такие расходы должны быть реально понесены, доказуемы и относиться именно к соответствующему Заказу. Не допускаются фиксированный сбор за отказ, штраф, заранее установленный процент за отказ, абстрактные накладные расходы или автоматическое удержание всей комиссии эквайринга. По запросу Пользователя Исполнитель предоставляет обоснование учитываемых расходов.</w:t>
      </w:r>
    </w:p>
    <w:p>
      <w:pPr>
        <w:pStyle w:val="Heading1"/>
        <w:ind w:firstLine="0"/>
      </w:pPr>
      <w:r>
        <w:t>4. Добровольный отказ после Замещения</w:t>
      </w:r>
    </w:p>
    <w:p>
      <w:pPr/>
      <w:r>
        <w:t>Если Замещение уже выполнено, но Гарантированный период видимости ещё не истёк, Пользователь вправе отказаться от дальнейшего оказания Услуги. Возврат рассчитывается исходя из стоимости неистекшей части Гарантированного периода видимости.</w:t>
      </w:r>
    </w:p>
    <w:p>
      <w:pPr/>
      <w:r>
        <w:t>Из суммы, относящейся к неистекшей части периода, могут быть вычтены только допустимые законом, документально подтверждённые фактически понесённые расходы по конкретному Заказу, которые не были уже учтены в стоимости фактически оказанной части Услуги. Двойное удержание одной и той же стоимости или расходов не допускается.</w:t>
      </w:r>
    </w:p>
    <w:p>
      <w:pPr/>
      <w:r>
        <w:t>Для расчёта используются данные Платформы о фактическом начале и окончании Гарантированного периода видимости. Время на устройстве Пользователя не является источником расчёта.</w:t>
      </w:r>
    </w:p>
    <w:p>
      <w:pPr>
        <w:pStyle w:val="Heading1"/>
        <w:ind w:firstLine="0"/>
      </w:pPr>
      <w:r>
        <w:t>5. Нарушение Гарантированного периода видимости и ошибка Исполнителя</w:t>
      </w:r>
    </w:p>
    <w:p>
      <w:pPr/>
      <w:r>
        <w:t>Если по причинам на стороне Исполнителя оплаченный контент необоснованно не отображался в течение части Гарантированного периода видимости, Пользователь вправе потребовать соразмерного уменьшения цены, которое при уже произведённой оплате реализуется возвратом соответствующей части суммы, а также использовать иные предусмотренные законом способы защиты при наличии оснований.</w:t>
      </w:r>
    </w:p>
    <w:p>
      <w:pPr/>
      <w:r>
        <w:t>Если оплаченный контент был скрыт или удалён по ошибке модерации, Исполнитель может восстановить Размещение на сопоставимых условиях либо исполнить соответствующее денежное требование Пользователя. Период необоснованного отсутствия контента не считается нормально оказанной частью видимости только потому, что оплата ранее была подтверждена.</w:t>
      </w:r>
    </w:p>
    <w:p>
      <w:pPr>
        <w:pStyle w:val="Heading1"/>
        <w:ind w:firstLine="0"/>
      </w:pPr>
      <w:r>
        <w:t>6. Удаление контента за нарушение Правил или прав третьих лиц</w:t>
      </w:r>
    </w:p>
    <w:p>
      <w:pPr/>
      <w:r>
        <w:t>Если после Замещения подтверждено нарушение Пользователем Правил размещения контента, расчёты производятся по разделу 5 Публичной оферты: исходя из неистекшей части Гарантированного периода видимости за вычетом только допустимых законом и документально подтверждённых фактически понесённых расходов по конкретному Заказу. Такое удержание не является штрафом и не может дублировать стоимость уже оказанной части Услуги.</w:t>
      </w:r>
    </w:p>
    <w:p>
      <w:pPr/>
      <w:r>
        <w:t>Получение жалобы правообладателя само по себе не означает подтверждённого нарушения. Если нарушение прав третьих лиц подтверждено в установленном порядке, применяется соответствующее правило Публичной оферты. Если удаление оказалось ошибочным, применяется правило об ошибке Исполнителя.</w:t>
      </w:r>
    </w:p>
    <w:p>
      <w:pPr/>
      <w:r>
        <w:t>Запрос лица, которому посвящён Стенд, сам по себе не означает нарушение Пользователем Правил или прав третьих лиц. Если Исполнитель прекращает законное оплаченное Размещение по собственной инициативе до окончания Гарантированного периода видимости без нарушения со стороны Пользователя, применяются правила о неоказании или ненадлежащем оказании Услуги.</w:t>
      </w:r>
    </w:p>
    <w:p>
      <w:pPr>
        <w:pStyle w:val="Heading1"/>
        <w:ind w:firstLine="0"/>
      </w:pPr>
      <w:r>
        <w:t>7. После окончания Гарантированного периода видимости</w:t>
      </w:r>
    </w:p>
    <w:p>
      <w:pPr/>
      <w:r>
        <w:t>После полного истечения Гарантированного периода видимости возврат за неистекшую часть периода отсутствует, поскольку оплаченный гарантированный период завершён. Это не лишает Пользователя прав при неоказании, недостатках, нарушении сроков или иных основаниях, предусмотренных законом.</w:t>
      </w:r>
    </w:p>
    <w:p>
      <w:pPr>
        <w:pStyle w:val="Heading1"/>
        <w:ind w:firstLine="0"/>
      </w:pPr>
      <w:r>
        <w:t>8. Платёж показан как успешный, но Заказ не подтверждён</w:t>
      </w:r>
    </w:p>
    <w:p>
      <w:pPr/>
      <w:r>
        <w:t>Страница успешной оплаты не является самостоятельным подтверждением исполнения Заказа. Платформа проверяет состояние платежа, сумму, валюту, Заказ, действительность Бронирования и факт Замещения. Пока проверка не завершена, Пользователю не следует повторно оплачивать тот же Заказ.</w:t>
      </w:r>
    </w:p>
    <w:p>
      <w:pPr/>
      <w:r>
        <w:t>При несоответствии суммы, валюты или Заказа, неизвестном состоянии платежа либо ином критичном несоответствии Замещение не выполняется до проверки. Если установлено, что денежные средства получены, но не могут быть корректно применены к Заказу, Исполнитель осуществляет возврат или иное законное урегулирование без выполнения неконтролируемого Замещения.</w:t>
      </w:r>
    </w:p>
    <w:p>
      <w:pPr>
        <w:pStyle w:val="Heading1"/>
        <w:ind w:firstLine="0"/>
      </w:pPr>
      <w:r>
        <w:t>9. Недостатки Услуги и иные права Пользователя</w:t>
      </w:r>
    </w:p>
    <w:p>
      <w:pPr/>
      <w:r>
        <w:t>Настоящая Политика не ограничивает способы защиты, предусмотренные законодательством Российской Федерации. В зависимости от основания Пользователь может иметь право, в частности, на устранение недостатка, повторное оказание Услуги, соразмерное уменьшение цены, отказ от договора, возмещение убытков и неустойку. Конкретный набор требований определяется законом и обстоятельствами случая.</w:t>
      </w:r>
    </w:p>
    <w:p>
      <w:pPr>
        <w:pStyle w:val="Heading1"/>
        <w:ind w:firstLine="0"/>
      </w:pPr>
      <w:r>
        <w:t>10. Как подать запрос на возврат</w:t>
      </w:r>
    </w:p>
    <w:p>
      <w:pPr/>
      <w:r>
        <w:t>Запрос можно направить через доступный интерфейс Платформы, если такая функция доступна, и/или по адресу loshkarv00@bk.ru.</w:t>
      </w:r>
    </w:p>
    <w:p>
      <w:pPr/>
      <w:r>
        <w:t>В обращении желательно указать идентификатор Заказа, адрес электронной почты или аккаунт, примерную дату и сумму платежа, причину обращения, выбранное требование при необходимости и краткое описание ситуации. Исполнитель не требует повторно предоставлять технические сведения, которые уже имеются у Платформы, без необходимости.</w:t>
      </w:r>
    </w:p>
    <w:p>
      <w:pPr/>
      <w:r>
        <w:t>Не отправляйте по электронной почте код CVV/CVC, коды из СМС, пароли, данные доступа к интернет-банку или полный номер банковской карты. Если для исключительного альтернативного способа возврата нужны банковские реквизиты, они запрашиваются через безопасный процесс.</w:t>
      </w:r>
    </w:p>
    <w:p>
      <w:pPr>
        <w:pStyle w:val="Heading1"/>
        <w:ind w:firstLine="0"/>
      </w:pPr>
      <w:r>
        <w:t>11. Статусы обращения</w:t>
      </w:r>
    </w:p>
    <w:p>
      <w:pPr/>
      <w:r>
        <w:t>«Запрос получен» — обращение зарегистрировано.</w:t>
      </w:r>
    </w:p>
    <w:p>
      <w:pPr/>
      <w:r>
        <w:t>«На рассмотрении» — Исполнитель проверяет Заказ, платёж и обстоятельства.</w:t>
      </w:r>
    </w:p>
    <w:p>
      <w:pPr/>
      <w:r>
        <w:t>«Требуются уточнения» — запрошены только сведения, необходимые для принятия решения.</w:t>
      </w:r>
    </w:p>
    <w:p>
      <w:pPr/>
      <w:r>
        <w:t>«Одобрен полный возврат» — к возврату утверждена вся причитающаяся сумма.</w:t>
      </w:r>
    </w:p>
    <w:p>
      <w:pPr/>
      <w:r>
        <w:t>«Одобрен частичный возврат» — Пользователю сообщаются исходная сумма, сумма возврата и основание расчёта.</w:t>
      </w:r>
    </w:p>
    <w:p>
      <w:pPr/>
      <w:r>
        <w:t>«Возврат передан на обработку» — операция возврата передана платёжной инфраструктуре либо исполняется иным согласованным законным способом.</w:t>
      </w:r>
    </w:p>
    <w:p>
      <w:pPr/>
      <w:r>
        <w:t>«Возврат выполнен» — Исполнитель получил подтверждение об успешном выполнении возврата.</w:t>
      </w:r>
    </w:p>
    <w:p>
      <w:pPr/>
      <w:r>
        <w:t>«Техническая проблема» — операция не завершена по технической причине; денежное обязательство Исполнителя не прекращается только из-за такой ошибки.</w:t>
      </w:r>
    </w:p>
    <w:p>
      <w:pPr/>
      <w:r>
        <w:t>«Требование не удовлетворено» — Пользователю сообщается конкретное основание принятого решения.</w:t>
      </w:r>
    </w:p>
    <w:p>
      <w:pPr>
        <w:pStyle w:val="Heading1"/>
        <w:ind w:firstLine="0"/>
      </w:pPr>
      <w:r>
        <w:t>12. Сроки</w:t>
      </w:r>
    </w:p>
    <w:p>
      <w:pPr/>
      <w:r>
        <w:t>Требования, для которых статья 31 Закона Российской Федерации «О защите прав потребителей» устанавливает десятидневный срок, удовлетворяются в течение 10 дней со дня предъявления соответствующего требования.</w:t>
      </w:r>
    </w:p>
    <w:p>
      <w:pPr/>
      <w:r>
        <w:t>Поздний и дублирующий платёж возвращаются в течение 10 календарных дней согласно Публичной оферте. Для добровольного отказа по статье 32 Закона Российской Федерации «О защите прав потребителей» Публичная оферта также устанавливает договорный срок 10 календарных дней с момента получения требования, содержащего сведения, достаточные для идентификации Заказа и исполнения возврата.</w:t>
      </w:r>
    </w:p>
    <w:p>
      <w:pPr/>
      <w:r>
        <w:t>После выполнения возврата со стороны Исполнителя срок фактического отражения денежных средств на счёте может зависеть от банка или платёжной системы. Это не уменьшает обязательства Исполнителя по закону и Публичной оферте.</w:t>
      </w:r>
    </w:p>
    <w:p>
      <w:pPr>
        <w:pStyle w:val="Heading1"/>
        <w:ind w:firstLine="0"/>
      </w:pPr>
      <w:r>
        <w:t>13. Способ возврата</w:t>
      </w:r>
    </w:p>
    <w:p>
      <w:pPr/>
      <w:r>
        <w:t>Как правило, возврат выполняется на то же платёжное средство, которым была произведена оплата. Если точную причитающуюся сумму технически невозможно вернуть через исходный способ оплаты, Исполнитель использует иной законный и безопасный способ исполнения денежного обязательства. Технические ограничения платёжной инфраструктуры не уменьшают сумму, причитающуюся Пользователю.</w:t>
      </w:r>
    </w:p>
    <w:p>
      <w:pPr>
        <w:pStyle w:val="Heading1"/>
        <w:ind w:firstLine="0"/>
      </w:pPr>
      <w:r>
        <w:t>14. Банковский спор</w:t>
      </w:r>
    </w:p>
    <w:p>
      <w:pPr/>
      <w:r>
        <w:t>Оспаривание операции через банк является отдельной процедурой и не заменяет обычный возврат по Публичной оферте или закону. Исполнитель может передавать банку или платёжному сервису необходимые сведения в минимально достаточном объёме и не гарантирует результат банковского спора.</w:t>
      </w:r>
    </w:p>
    <w:p>
      <w:pPr/>
      <w:r>
        <w:t>Если по одной и той же сумме одновременно рассматриваются возврат и банковский спор, Исполнитель сверяет фактические результаты, чтобы исключить двойное возмещение, не используя это как основание для неправомерной задержки очевидно причитающейся суммы.</w:t>
      </w:r>
    </w:p>
    <w:p>
      <w:pPr>
        <w:pStyle w:val="Heading1"/>
        <w:ind w:firstLine="0"/>
      </w:pPr>
      <w:r>
        <w:t>15. Кассовые документы</w:t>
      </w:r>
    </w:p>
    <w:p>
      <w:pPr/>
      <w:r>
        <w:t>При возврате Исполнитель формирует предусмотренные законодательством кассовые документы, если их формирование требуется для соответствующей операции. Техническая ошибка фискализации устраняется отдельно и сама по себе не является основанием для отказа в причитающемся возврате.</w:t>
      </w:r>
    </w:p>
    <w:p>
      <w:pPr>
        <w:pStyle w:val="Heading1"/>
        <w:ind w:firstLine="0"/>
      </w:pPr>
      <w:r>
        <w:t>16. Редакции Политики и связь с другими документами</w:t>
      </w:r>
    </w:p>
    <w:p>
      <w:pPr/>
      <w:r>
        <w:t>Текущая редакция настоящей Политики — 1.0. Она вступает в силу с момента публикации на Сайте.</w:t>
      </w:r>
    </w:p>
    <w:p>
      <w:pPr/>
      <w:r>
        <w:t>Предыдущие редакции доступны по адресу [[URL АРХИВА ПОЛИТИКИ ВОЗВРАТОВ]]. Новая редакция не ухудшает ретроактивно права по уже оплаченному Заказу.</w:t>
      </w:r>
    </w:p>
    <w:p>
      <w:pPr/>
      <w:r>
        <w:t>Для экономических условий конкретного оплаченного Заказа применяется соответствующая редакция Публичной оферты; настоящая Политика разъясняет порядок возвратов. Правила размещения контента определяют требования к пользовательскому контенту; Пользовательское соглашение — общие правила использования Платформы; Политика конфиденциальности — обработку персональных данных. Обязательные права Пользователя имеют приоритет.</w:t>
      </w:r>
    </w:p>
    <w:p>
      <w:pPr>
        <w:pStyle w:val="Heading1"/>
        <w:ind w:firstLine="0"/>
      </w:pPr>
      <w:r>
        <w:t>17. Контакт для обращений</w:t>
      </w:r>
    </w:p>
    <w:p>
      <w:pPr/>
      <w:r>
        <w:t>Запросы по вопросам возвратов направляются по адресу loshkarv00@bk.ru. Общие реквизиты Исполнителя указаны в Публичной оферте.</w:t>
      </w:r>
    </w:p>
    <w:sectPr>
      <w:headerReference w:type="default" r:id="rId9"/>
      <w:footerReference w:type="default" r:id="rId10"/>
      <w:pgSz w:w="12240" w:h="15840"/>
      <w:pgMar w:top="1134" w:right="567" w:bottom="1134" w:left="1134" w:header="567"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nos" w:hAnsi="Tinos"/>
        <w:sz w:val="20"/>
      </w:rPr>
    </w:r>
    <w: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ind w:firstLine="709"/>
      <w:jc w:val="both"/>
    </w:pPr>
    <w:rPr>
      <w:rFonts w:ascii="Tinos" w:hAnsi="Tinos" w:eastAsia="Tin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ind w:firstLine="0" w:left="0"/>
      <w:jc w:val="left"/>
      <w:outlineLvl w:val="0"/>
    </w:pPr>
    <w:rPr>
      <w:rFonts w:asciiTheme="majorHAnsi" w:eastAsiaTheme="majorEastAsia" w:hAnsiTheme="majorHAnsi" w:cstheme="majorBidi" w:ascii="Tinos" w:hAnsi="Tinos" w:eastAsia="Tinos"/>
      <w:b/>
      <w:bCs/>
      <w:sz w:val="24"/>
      <w:szCs w:val="28"/>
    </w:rPr>
  </w:style>
  <w:style w:type="paragraph" w:styleId="Heading2">
    <w:name w:val="heading 2"/>
    <w:basedOn w:val="Normal"/>
    <w:next w:val="Normal"/>
    <w:link w:val="Heading2Char"/>
    <w:uiPriority w:val="9"/>
    <w:unhideWhenUsed/>
    <w:qFormat/>
    <w:rsid w:val="00FC693F"/>
    <w:pPr>
      <w:keepNext/>
      <w:keepLines/>
      <w:spacing w:before="180" w:after="60" w:line="276" w:lineRule="auto"/>
      <w:ind w:firstLine="0" w:left="0"/>
      <w:jc w:val="left"/>
      <w:outlineLvl w:val="1"/>
    </w:pPr>
    <w:rPr>
      <w:rFonts w:asciiTheme="majorHAnsi" w:eastAsiaTheme="majorEastAsia" w:hAnsiTheme="majorHAnsi" w:cstheme="majorBidi" w:ascii="Tinos" w:hAnsi="Tinos" w:eastAsia="Tinos"/>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left="0"/>
      <w:contextualSpacing/>
      <w:jc w:val="center"/>
    </w:pPr>
    <w:rPr>
      <w:rFonts w:asciiTheme="majorHAnsi" w:eastAsiaTheme="majorEastAsia" w:hAnsiTheme="majorHAnsi" w:cstheme="majorBidi" w:ascii="Tinos" w:hAnsi="Tinos" w:eastAsia="Tinos"/>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