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both"/>
      </w:pPr>
      <w:r>
        <w:rPr>
          <w:rtl w:val="0"/>
          <w:lang w:val="ru-RU"/>
        </w:rPr>
        <w:t>Геолого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технологические сорта с примерами</w:t>
      </w:r>
      <w:r>
        <w:rPr>
          <w:rtl w:val="0"/>
          <w:lang w:val="ru-RU"/>
        </w:rPr>
        <w:t>:</w:t>
      </w:r>
    </w:p>
    <w:p>
      <w:pPr>
        <w:pStyle w:val="Normal.0"/>
        <w:jc w:val="both"/>
      </w:pP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1. </w:t>
      </w:r>
      <w:r>
        <w:rPr>
          <w:b w:val="1"/>
          <w:bCs w:val="1"/>
          <w:rtl w:val="0"/>
          <w:lang w:val="ru-RU"/>
        </w:rPr>
        <w:t>Рядовой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Интересуют рудные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светлые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фазы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Могут незначительно замещаться серой или темной фазой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3).</w:t>
      </w:r>
    </w:p>
    <w:tbl>
      <w:tblPr>
        <w:tblW w:w="934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672"/>
        <w:gridCol w:w="4673"/>
      </w:tblGrid>
      <w:tr>
        <w:tblPrEx>
          <w:shd w:val="clear" w:color="auto" w:fill="d0ddef"/>
        </w:tblPrEx>
        <w:trPr>
          <w:trHeight w:val="4240" w:hRule="atLeast"/>
        </w:trPr>
        <w:tc>
          <w:tcPr>
            <w:tcW w:type="dxa" w:w="46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  <w:lang w:val="ru-RU"/>
              </w:rPr>
              <w:drawing xmlns:a="http://schemas.openxmlformats.org/drawingml/2006/main">
                <wp:inline distT="0" distB="0" distL="0" distR="0">
                  <wp:extent cx="2781300" cy="1847850"/>
                  <wp:effectExtent l="0" t="0" r="0" b="0"/>
                  <wp:docPr id="1073741825" name="officeArt object" descr="Изображе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Изображение" descr="Изображение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8478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</w:pPr>
            <w:r>
              <w:rPr>
                <w:shd w:val="nil" w:color="auto" w:fill="auto"/>
                <w:lang w:val="ru-RU"/>
              </w:rPr>
              <w:drawing xmlns:a="http://schemas.openxmlformats.org/drawingml/2006/main">
                <wp:inline distT="0" distB="0" distL="0" distR="0">
                  <wp:extent cx="2800350" cy="2647950"/>
                  <wp:effectExtent l="0" t="0" r="0" b="0"/>
                  <wp:docPr id="1073741826" name="officeArt object" descr="Изображе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Изображение" descr="Изображение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6479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140" w:hRule="atLeast"/>
        </w:trPr>
        <w:tc>
          <w:tcPr>
            <w:tcW w:type="dxa" w:w="46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Рисунок </w:t>
            </w:r>
            <w:r>
              <w:rPr>
                <w:shd w:val="nil" w:color="auto" w:fill="auto"/>
                <w:rtl w:val="0"/>
                <w:lang w:val="ru-RU"/>
              </w:rPr>
              <w:t xml:space="preserve">1. </w:t>
            </w:r>
            <w:r>
              <w:rPr>
                <w:shd w:val="nil" w:color="auto" w:fill="auto"/>
                <w:rtl w:val="0"/>
                <w:lang w:val="ru-RU"/>
              </w:rPr>
              <w:t>На рисунке светлое</w:t>
            </w:r>
            <w:r>
              <w:rPr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shd w:val="nil" w:color="auto" w:fill="auto"/>
                <w:rtl w:val="0"/>
                <w:lang w:val="ru-RU"/>
              </w:rPr>
              <w:t>рудный вкрапленник крупного размера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темное</w:t>
            </w:r>
            <w:r>
              <w:rPr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shd w:val="nil" w:color="auto" w:fill="auto"/>
                <w:rtl w:val="0"/>
                <w:lang w:val="ru-RU"/>
              </w:rPr>
              <w:t>силикаты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</w:p>
        </w:tc>
        <w:tc>
          <w:tcPr>
            <w:tcW w:type="dxa" w:w="46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</w:pPr>
            <w:r>
              <w:rPr>
                <w:shd w:val="nil" w:color="auto" w:fill="auto"/>
                <w:rtl w:val="0"/>
                <w:lang w:val="ru-RU"/>
              </w:rPr>
              <w:t xml:space="preserve">Рисунок </w:t>
            </w:r>
            <w:r>
              <w:rPr>
                <w:shd w:val="nil" w:color="auto" w:fill="auto"/>
                <w:rtl w:val="0"/>
                <w:lang w:val="ru-RU"/>
              </w:rPr>
              <w:t xml:space="preserve">2. </w:t>
            </w:r>
            <w:r>
              <w:rPr>
                <w:shd w:val="nil" w:color="auto" w:fill="auto"/>
                <w:rtl w:val="0"/>
                <w:lang w:val="ru-RU"/>
              </w:rPr>
              <w:t xml:space="preserve">Крупная рудная вкрапленность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светлое</w:t>
            </w:r>
            <w:r>
              <w:rPr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shd w:val="nil" w:color="auto" w:fill="auto"/>
                <w:rtl w:val="0"/>
                <w:lang w:val="ru-RU"/>
              </w:rPr>
              <w:t xml:space="preserve">окруженная силикатами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темное</w:t>
            </w:r>
            <w:r>
              <w:rPr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d0ddef"/>
        </w:tblPrEx>
        <w:trPr>
          <w:trHeight w:val="4240" w:hRule="atLeast"/>
        </w:trPr>
        <w:tc>
          <w:tcPr>
            <w:tcW w:type="dxa" w:w="9345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3676650" cy="2647950"/>
                  <wp:effectExtent l="0" t="0" r="0" b="0"/>
                  <wp:docPr id="1073741827" name="officeArt object" descr="Изображе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Изображение" descr="Изображение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6479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580" w:hRule="atLeast"/>
        </w:trPr>
        <w:tc>
          <w:tcPr>
            <w:tcW w:type="dxa" w:w="9345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 xml:space="preserve">Рисунок </w:t>
            </w:r>
            <w:r>
              <w:rPr>
                <w:shd w:val="nil" w:color="auto" w:fill="auto"/>
                <w:rtl w:val="0"/>
                <w:lang w:val="ru-RU"/>
              </w:rPr>
              <w:t xml:space="preserve">3. </w:t>
            </w:r>
            <w:r>
              <w:rPr>
                <w:shd w:val="nil" w:color="auto" w:fill="auto"/>
                <w:rtl w:val="0"/>
                <w:lang w:val="ru-RU"/>
              </w:rPr>
              <w:t xml:space="preserve">Синим цветом обведены рудные вкрапленники с небольшим замещением серой фазой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магнетит</w:t>
            </w:r>
            <w:r>
              <w:rPr>
                <w:shd w:val="nil" w:color="auto" w:fill="auto"/>
                <w:rtl w:val="0"/>
                <w:lang w:val="ru-RU"/>
              </w:rPr>
              <w:t>).</w:t>
            </w:r>
          </w:p>
        </w:tc>
      </w:tr>
    </w:tbl>
    <w:p>
      <w:pPr>
        <w:pStyle w:val="Normal.0"/>
        <w:widowControl w:val="0"/>
        <w:ind w:firstLine="0"/>
        <w:jc w:val="both"/>
      </w:pPr>
    </w:p>
    <w:p>
      <w:pPr>
        <w:pStyle w:val="Normal.0"/>
        <w:ind w:firstLine="0"/>
        <w:jc w:val="both"/>
      </w:pPr>
    </w:p>
    <w:p>
      <w:pPr>
        <w:pStyle w:val="Normal.0"/>
        <w:ind w:firstLine="0"/>
        <w:jc w:val="both"/>
      </w:pPr>
    </w:p>
    <w:p>
      <w:pPr>
        <w:pStyle w:val="Normal.0"/>
        <w:ind w:firstLine="0"/>
        <w:jc w:val="both"/>
      </w:pPr>
    </w:p>
    <w:p>
      <w:pPr>
        <w:pStyle w:val="Normal.0"/>
        <w:ind w:firstLine="0"/>
        <w:jc w:val="both"/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2. </w:t>
      </w:r>
      <w:r>
        <w:rPr>
          <w:b w:val="1"/>
          <w:bCs w:val="1"/>
          <w:rtl w:val="0"/>
          <w:lang w:val="ru-RU"/>
        </w:rPr>
        <w:t>Труднообогатимый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Рудные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светлые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фазы значительно замещаются серой фазой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4)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или темной фазой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5).</w:t>
      </w:r>
    </w:p>
    <w:tbl>
      <w:tblPr>
        <w:tblW w:w="93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5247"/>
        <w:gridCol w:w="4108"/>
      </w:tblGrid>
      <w:tr>
        <w:tblPrEx>
          <w:shd w:val="clear" w:color="auto" w:fill="d0ddef"/>
        </w:tblPrEx>
        <w:trPr>
          <w:trHeight w:val="4063" w:hRule="atLeast"/>
        </w:trPr>
        <w:tc>
          <w:tcPr>
            <w:tcW w:type="dxa" w:w="52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  <w:lang w:val="ru-RU"/>
              </w:rPr>
              <w:drawing xmlns:a="http://schemas.openxmlformats.org/drawingml/2006/main">
                <wp:inline distT="0" distB="0" distL="0" distR="0">
                  <wp:extent cx="3208158" cy="2145045"/>
                  <wp:effectExtent l="0" t="0" r="0" b="0"/>
                  <wp:docPr id="1073741828" name="officeArt object" descr="Изображе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Изображение" descr="Изображение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158" cy="214504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2486903" cy="2351183"/>
                  <wp:effectExtent l="0" t="0" r="0" b="0"/>
                  <wp:docPr id="1073741829" name="officeArt object" descr="C:\Users\MagaevaAN\AppData\Local\Microsoft\Windows\INetCache\Content.Word\2548002 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C:\Users\MagaevaAN\AppData\Local\Microsoft\Windows\INetCache\Content.Word\2548002 1.jpg" descr="C:\Users\MagaevaAN\AppData\Local\Microsoft\Windows\INetCache\Content.Word\2548002 1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903" cy="235118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d0ddef"/>
        </w:tblPrEx>
        <w:trPr>
          <w:trHeight w:val="300" w:hRule="atLeast"/>
        </w:trPr>
        <w:tc>
          <w:tcPr>
            <w:tcW w:type="dxa" w:w="52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Рисунок </w:t>
            </w:r>
            <w:r>
              <w:rPr>
                <w:shd w:val="nil" w:color="auto" w:fill="auto"/>
                <w:rtl w:val="0"/>
                <w:lang w:val="ru-RU"/>
              </w:rPr>
              <w:t xml:space="preserve">4. </w:t>
            </w:r>
          </w:p>
        </w:tc>
        <w:tc>
          <w:tcPr>
            <w:tcW w:type="dxa" w:w="410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  <w:rtl w:val="0"/>
              </w:rPr>
              <w:t xml:space="preserve">Рисунок </w:t>
            </w:r>
            <w:r>
              <w:rPr>
                <w:shd w:val="nil" w:color="auto" w:fill="auto"/>
                <w:rtl w:val="0"/>
              </w:rPr>
              <w:t>5.</w:t>
            </w:r>
          </w:p>
        </w:tc>
      </w:tr>
    </w:tbl>
    <w:p>
      <w:pPr>
        <w:pStyle w:val="Normal.0"/>
        <w:widowControl w:val="0"/>
        <w:ind w:firstLine="0"/>
        <w:jc w:val="both"/>
      </w:pPr>
    </w:p>
    <w:p>
      <w:pPr>
        <w:pStyle w:val="Normal.0"/>
        <w:jc w:val="both"/>
      </w:pPr>
    </w:p>
    <w:p>
      <w:pPr>
        <w:pStyle w:val="Normal.0"/>
        <w:jc w:val="both"/>
      </w:pP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3. </w:t>
      </w:r>
      <w:r>
        <w:rPr>
          <w:b w:val="1"/>
          <w:bCs w:val="1"/>
          <w:rtl w:val="0"/>
          <w:lang w:val="ru-RU"/>
        </w:rPr>
        <w:t>Оталькованный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Вкрапленники могут быть разных размеров и степени замещения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однако присутствует более </w:t>
      </w:r>
      <w:r>
        <w:rPr>
          <w:rtl w:val="0"/>
          <w:lang w:val="ru-RU"/>
        </w:rPr>
        <w:t xml:space="preserve">10% </w:t>
      </w:r>
      <w:r>
        <w:rPr>
          <w:rtl w:val="0"/>
          <w:lang w:val="ru-RU"/>
        </w:rPr>
        <w:t>талька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 изображениях тальк может выражаться в виде темных рассеянных областей в нерудных зонах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разработке будем ориентироваться на них</w:t>
      </w:r>
      <w:r>
        <w:rPr>
          <w:rtl w:val="0"/>
          <w:lang w:val="ru-RU"/>
        </w:rPr>
        <w:t xml:space="preserve">. </w:t>
      </w:r>
    </w:p>
    <w:tbl>
      <w:tblPr>
        <w:tblW w:w="93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588"/>
        <w:gridCol w:w="4767"/>
      </w:tblGrid>
      <w:tr>
        <w:tblPrEx>
          <w:shd w:val="clear" w:color="auto" w:fill="d0ddef"/>
        </w:tblPrEx>
        <w:trPr>
          <w:trHeight w:val="3127" w:hRule="atLeast"/>
        </w:trPr>
        <w:tc>
          <w:tcPr>
            <w:tcW w:type="dxa" w:w="45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  <w:lang w:val="ru-RU"/>
              </w:rPr>
              <w:drawing xmlns:a="http://schemas.openxmlformats.org/drawingml/2006/main">
                <wp:inline distT="0" distB="0" distL="0" distR="0">
                  <wp:extent cx="2790856" cy="1860571"/>
                  <wp:effectExtent l="0" t="0" r="0" b="0"/>
                  <wp:docPr id="1073741830" name="officeArt object" descr="Изображе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Изображение" descr="Изображение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56" cy="186057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  <w:lang w:val="ru-RU"/>
              </w:rPr>
              <w:drawing xmlns:a="http://schemas.openxmlformats.org/drawingml/2006/main">
                <wp:inline distT="0" distB="0" distL="0" distR="0">
                  <wp:extent cx="2904206" cy="1936137"/>
                  <wp:effectExtent l="0" t="0" r="0" b="0"/>
                  <wp:docPr id="1073741831" name="officeArt object" descr="Изображе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Изображение" descr="Изображение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206" cy="193613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700" w:hRule="atLeast"/>
        </w:trPr>
        <w:tc>
          <w:tcPr>
            <w:tcW w:type="dxa" w:w="45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Рисунок </w:t>
            </w:r>
            <w:r>
              <w:rPr>
                <w:shd w:val="nil" w:color="auto" w:fill="auto"/>
                <w:rtl w:val="0"/>
                <w:lang w:val="ru-RU"/>
              </w:rPr>
              <w:t xml:space="preserve">6. </w:t>
            </w:r>
            <w:r>
              <w:rPr>
                <w:shd w:val="nil" w:color="auto" w:fill="auto"/>
                <w:rtl w:val="0"/>
                <w:lang w:val="ru-RU"/>
              </w:rPr>
              <w:t xml:space="preserve">Распространение талька вокруг крупного рудного вкрапленника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светлое</w:t>
            </w:r>
            <w:r>
              <w:rPr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shd w:val="nil" w:color="auto" w:fill="auto"/>
                <w:rtl w:val="0"/>
                <w:lang w:val="ru-RU"/>
              </w:rPr>
              <w:t>Такая руда относилась бы к рядовым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если бы не тальк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выраженный более темными областями</w:t>
            </w:r>
          </w:p>
        </w:tc>
        <w:tc>
          <w:tcPr>
            <w:tcW w:type="dxa" w:w="47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firstLine="0"/>
              <w:jc w:val="both"/>
            </w:pPr>
            <w:r>
              <w:rPr>
                <w:shd w:val="nil" w:color="auto" w:fill="auto"/>
                <w:rtl w:val="0"/>
                <w:lang w:val="ru-RU"/>
              </w:rPr>
              <w:t xml:space="preserve">Рисунок </w:t>
            </w:r>
            <w:r>
              <w:rPr>
                <w:shd w:val="nil" w:color="auto" w:fill="auto"/>
                <w:rtl w:val="0"/>
                <w:lang w:val="ru-RU"/>
              </w:rPr>
              <w:t xml:space="preserve">7. </w:t>
            </w:r>
            <w:r>
              <w:rPr>
                <w:shd w:val="nil" w:color="auto" w:fill="auto"/>
                <w:rtl w:val="0"/>
                <w:lang w:val="ru-RU"/>
              </w:rPr>
              <w:t xml:space="preserve">Оталькование вокруг мелкой рудной вкрапленности </w:t>
            </w:r>
            <w:r>
              <w:rPr>
                <w:shd w:val="nil" w:color="auto" w:fill="auto"/>
                <w:rtl w:val="0"/>
                <w:lang w:val="ru-RU"/>
              </w:rPr>
              <w:t>(</w:t>
            </w:r>
            <w:r>
              <w:rPr>
                <w:shd w:val="nil" w:color="auto" w:fill="auto"/>
                <w:rtl w:val="0"/>
                <w:lang w:val="ru-RU"/>
              </w:rPr>
              <w:t>светлое</w:t>
            </w:r>
            <w:r>
              <w:rPr>
                <w:shd w:val="nil" w:color="auto" w:fill="auto"/>
                <w:rtl w:val="0"/>
                <w:lang w:val="ru-RU"/>
              </w:rPr>
              <w:t xml:space="preserve">). </w:t>
            </w:r>
            <w:r>
              <w:rPr>
                <w:shd w:val="nil" w:color="auto" w:fill="auto"/>
                <w:rtl w:val="0"/>
                <w:lang w:val="ru-RU"/>
              </w:rPr>
              <w:t>Такая руда относилась бы к труднообогатимым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если бы не присутствие талька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Normal.0"/>
        <w:widowControl w:val="0"/>
        <w:ind w:firstLine="0"/>
        <w:jc w:val="both"/>
      </w:pPr>
    </w:p>
    <w:p>
      <w:pPr>
        <w:pStyle w:val="Normal.0"/>
        <w:jc w:val="both"/>
      </w:pPr>
      <w:r/>
    </w:p>
    <w:sectPr>
      <w:headerReference w:type="default" r:id="rId11"/>
      <w:footerReference w:type="default" r:id="rId12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ahom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709"/>
      <w:jc w:val="left"/>
      <w:outlineLvl w:val="9"/>
    </w:pPr>
    <w:rPr>
      <w:rFonts w:ascii="Tahoma" w:cs="Arial Unicode MS" w:hAnsi="Tahom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