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120"/>
        <w:jc w:val="center"/>
        <w:rPr/>
      </w:pPr>
      <w:r>
        <w:rPr>
          <w:b/>
          <w:bCs/>
          <w:sz w:val="28"/>
          <w:szCs w:val="28"/>
        </w:rPr>
        <w:t>Lab Planning – Practical</w:t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5349"/>
        <w:gridCol w:w="5350"/>
      </w:tblGrid>
      <w:tr>
        <w:trPr/>
        <w:tc>
          <w:tcPr>
            <w:tcW w:w="5349" w:type="dxa"/>
            <w:tcBorders/>
          </w:tcPr>
          <w:p>
            <w:pPr>
              <w:pStyle w:val="TableContents"/>
              <w:rPr/>
            </w:pPr>
            <w:r>
              <w:rPr/>
              <w:t xml:space="preserve">Subject: Cyber </w:t>
            </w:r>
            <w:r>
              <w:rPr/>
              <w:t>Security</w:t>
            </w:r>
            <w:r>
              <w:rPr/>
              <w:tab/>
            </w:r>
          </w:p>
        </w:tc>
        <w:tc>
          <w:tcPr>
            <w:tcW w:w="5350" w:type="dxa"/>
            <w:tcBorders/>
          </w:tcPr>
          <w:p>
            <w:pPr>
              <w:pStyle w:val="TableContents"/>
              <w:rPr/>
            </w:pPr>
            <w:r>
              <w:rPr/>
              <w:t>Discipline: IT</w:t>
              <w:tab/>
              <w:tab/>
              <w:tab/>
              <w:tab/>
              <w:tab/>
              <w:tab/>
            </w:r>
          </w:p>
        </w:tc>
      </w:tr>
      <w:tr>
        <w:trPr/>
        <w:tc>
          <w:tcPr>
            <w:tcW w:w="5349" w:type="dxa"/>
            <w:tcBorders/>
          </w:tcPr>
          <w:p>
            <w:pPr>
              <w:pStyle w:val="TableContents"/>
              <w:rPr/>
            </w:pPr>
            <w:r>
              <w:rPr/>
              <w:t>Subject Code: BE05016041</w:t>
            </w:r>
          </w:p>
        </w:tc>
        <w:tc>
          <w:tcPr>
            <w:tcW w:w="5350" w:type="dxa"/>
            <w:tcBorders/>
          </w:tcPr>
          <w:p>
            <w:pPr>
              <w:pStyle w:val="TableContents"/>
              <w:rPr/>
            </w:pPr>
            <w:r>
              <w:rPr/>
              <w:t>Semester: 5</w:t>
            </w:r>
            <w:r>
              <w:rPr>
                <w:vertAlign w:val="superscript"/>
              </w:rPr>
              <w:t>th</w:t>
            </w:r>
          </w:p>
        </w:tc>
      </w:tr>
      <w:tr>
        <w:trPr/>
        <w:tc>
          <w:tcPr>
            <w:tcW w:w="5349" w:type="dxa"/>
            <w:tcBorders/>
          </w:tcPr>
          <w:p>
            <w:pPr>
              <w:pStyle w:val="TableContents"/>
              <w:rPr/>
            </w:pPr>
            <w:r>
              <w:rPr/>
              <w:t>Academic Year: 2026-2027</w:t>
            </w:r>
          </w:p>
        </w:tc>
        <w:tc>
          <w:tcPr>
            <w:tcW w:w="5350" w:type="dxa"/>
            <w:tcBorders/>
          </w:tcPr>
          <w:p>
            <w:pPr>
              <w:pStyle w:val="TableContents"/>
              <w:rPr/>
            </w:pPr>
            <w:r>
              <w:rPr/>
              <w:t>Name of Faculty: Naman Shah</w:t>
            </w:r>
          </w:p>
        </w:tc>
      </w:tr>
      <w:tr>
        <w:trPr/>
        <w:tc>
          <w:tcPr>
            <w:tcW w:w="5349" w:type="dxa"/>
            <w:tcBorders/>
          </w:tcPr>
          <w:p>
            <w:pPr>
              <w:pStyle w:val="TableContents"/>
              <w:rPr/>
            </w:pPr>
            <w:r>
              <w:rPr/>
              <w:t>Employee code: 25CE0587</w:t>
            </w:r>
          </w:p>
        </w:tc>
        <w:tc>
          <w:tcPr>
            <w:tcW w:w="5350" w:type="dxa"/>
            <w:tcBorders/>
          </w:tcPr>
          <w:p>
            <w:pPr>
              <w:pStyle w:val="TableContents"/>
              <w:rPr/>
            </w:pPr>
            <w:r>
              <w:rPr/>
              <w:t>Total no of lab planned: 14</w:t>
            </w:r>
          </w:p>
        </w:tc>
      </w:tr>
    </w:tbl>
    <w:p>
      <w:pPr>
        <w:pStyle w:val="Normal"/>
        <w:spacing w:before="0" w:after="60"/>
        <w:jc w:val="start"/>
        <w:rPr>
          <w:b w:val="false"/>
          <w:bCs w:val="false"/>
          <w:sz w:val="12"/>
          <w:szCs w:val="12"/>
        </w:rPr>
      </w:pPr>
      <w:r>
        <w:rPr/>
      </w:r>
    </w:p>
    <w:p>
      <w:pPr>
        <w:pStyle w:val="Normal"/>
        <w:spacing w:before="0" w:after="60"/>
        <w:jc w:val="start"/>
        <w:rPr/>
      </w:pPr>
      <w:r>
        <w:rPr>
          <w:b/>
          <w:bCs/>
          <w:sz w:val="20"/>
          <w:szCs w:val="20"/>
        </w:rPr>
        <w:t>Teaching and Examination Scheme:</w:t>
      </w:r>
    </w:p>
    <w:tbl>
      <w:tblPr>
        <w:tblW w:w="1000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891"/>
        <w:gridCol w:w="891"/>
        <w:gridCol w:w="891"/>
        <w:gridCol w:w="891"/>
        <w:gridCol w:w="891"/>
        <w:gridCol w:w="892"/>
        <w:gridCol w:w="891"/>
        <w:gridCol w:w="891"/>
        <w:gridCol w:w="891"/>
        <w:gridCol w:w="891"/>
        <w:gridCol w:w="1089"/>
      </w:tblGrid>
      <w:tr>
        <w:trPr/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L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PBL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Total Hrs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Credits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ESE (E)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PA/CA (M)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PA/CA (I)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PBL (I)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ESE (V)</w:t>
            </w:r>
          </w:p>
        </w:tc>
      </w:tr>
      <w:tr>
        <w:trPr/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45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15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90</w:t>
            </w:r>
          </w:p>
        </w:tc>
        <w:tc>
          <w:tcPr>
            <w:tcW w:w="89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</w:t>
            </w:r>
          </w:p>
        </w:tc>
        <w:tc>
          <w:tcPr>
            <w:tcW w:w="891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30</w:t>
            </w:r>
          </w:p>
        </w:tc>
        <w:tc>
          <w:tcPr>
            <w:tcW w:w="1089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50</w:t>
            </w:r>
          </w:p>
        </w:tc>
      </w:tr>
    </w:tbl>
    <w:p>
      <w:pPr>
        <w:pStyle w:val="Normal"/>
        <w:spacing w:before="0" w:after="160"/>
        <w:jc w:val="start"/>
        <w:rPr/>
      </w:pPr>
      <w:r>
        <w:rPr>
          <w:b w:val="false"/>
          <w:bCs w:val="false"/>
          <w:sz w:val="16"/>
          <w:szCs w:val="16"/>
        </w:rPr>
        <w:t>Total Marks: 200 (Theory 100 + Practical 100)   |   L-Lectures, T-Tutorial, P-Practical, PBL-Problem Based Learning; ESE-End Semester Exam; PA/CA-Progressive/Continuous Assessment</w:t>
      </w:r>
    </w:p>
    <w:p>
      <w:pPr>
        <w:pStyle w:val="Normal"/>
        <w:spacing w:before="0" w:after="60"/>
        <w:jc w:val="start"/>
        <w:rPr/>
      </w:pPr>
      <w:r>
        <w:rPr>
          <w:b/>
          <w:bCs/>
          <w:sz w:val="20"/>
          <w:szCs w:val="20"/>
        </w:rPr>
        <w:t>Lab Turn on:</w:t>
      </w:r>
    </w:p>
    <w:tbl>
      <w:tblPr>
        <w:tblW w:w="10000" w:type="dxa"/>
        <w:jc w:val="start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1702"/>
        <w:gridCol w:w="1383"/>
        <w:gridCol w:w="1383"/>
        <w:gridCol w:w="1383"/>
        <w:gridCol w:w="1383"/>
        <w:gridCol w:w="1383"/>
        <w:gridCol w:w="1383"/>
      </w:tblGrid>
      <w:tr>
        <w:trPr/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Lab Turn on: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Monday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Tuesday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Wednesday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Thursday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Friday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Saturday</w:t>
            </w:r>
          </w:p>
        </w:tc>
      </w:tr>
      <w:tr>
        <w:trPr>
          <w:trHeight w:val="423" w:hRule="atLeast"/>
        </w:trPr>
        <w:tc>
          <w:tcPr>
            <w:tcW w:w="170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√</w:t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38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jc w:val="start"/>
        <w:rPr/>
      </w:pPr>
      <w:r>
        <w:rPr>
          <w:b w:val="false"/>
          <w:bCs w:val="false"/>
          <w:sz w:val="12"/>
          <w:szCs w:val="12"/>
        </w:rPr>
        <w:t xml:space="preserve"> </w:t>
      </w:r>
    </w:p>
    <w:tbl>
      <w:tblPr>
        <w:tblW w:w="10859" w:type="dxa"/>
        <w:jc w:val="center"/>
        <w:tblInd w:w="0" w:type="dxa"/>
        <w:tblLayout w:type="fixed"/>
        <w:tblCellMar>
          <w:top w:w="40" w:type="dxa"/>
          <w:start w:w="60" w:type="dxa"/>
          <w:bottom w:w="40" w:type="dxa"/>
          <w:end w:w="60" w:type="dxa"/>
        </w:tblCellMar>
      </w:tblPr>
      <w:tblGrid>
        <w:gridCol w:w="748"/>
        <w:gridCol w:w="5204"/>
        <w:gridCol w:w="1532"/>
        <w:gridCol w:w="1080"/>
        <w:gridCol w:w="1172"/>
        <w:gridCol w:w="1123"/>
      </w:tblGrid>
      <w:tr>
        <w:trPr>
          <w:tblHeader w:val="true"/>
        </w:trPr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Lab. No.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/>
                <w:bCs/>
                <w:sz w:val="18"/>
                <w:szCs w:val="18"/>
              </w:rPr>
              <w:t>Practical Covered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Planned Date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Actual Date</w:t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HOD's Sign</w:t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/>
                <w:bCs/>
                <w:sz w:val="18"/>
                <w:szCs w:val="18"/>
              </w:rPr>
              <w:t>Remarks</w:t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Create a custom Windows Defender Firewall inbound rule (block a specific port/app) and verify it is blocked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18/06/26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widowControl/>
              <w:bidi w:val="0"/>
              <w:spacing w:before="0" w:after="0"/>
              <w:ind w:firstLine="449" w:start="89" w:end="89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Enable Windows Defender Firewall logging (pfirewall.log) and analyze allowed/dropped packet entries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25/06/26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Use netstat -ano to list open ports and active connections, and map PIDs to running processes in Task Manager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02/07/26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4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Run a Windows Defender Quick Scan, review scan history, and explore real-time &amp; cloud-delivered protection settings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09/07/26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5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Configure password complexity, minimum length, and account lockout policy using secpol.msc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16/07/26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6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Create a standard (non-admin) user and compare UAC prompt behavior between standard and admin accounts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23/07/26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7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Use Event Viewer to audit failed logon attempts (Event ID 4625) under Windows Security logs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30/07/26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8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Use PowerShell (Get-NetTCPConnection, Get-Process) to identify processes making outbound network connections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06/08/26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9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Generate and verify file integrity using certutil -hashfile (SHA256) to simulate tamper detection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13/08/26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Identify and disable an unnecessary/risky Windows service (e.g. Remote Registry) using services.msc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20/08/26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11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Audit saved Wi-Fi profiles and their security type using the netsh wlan show profile command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27/08/26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12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Perform basic Nmap scans (ping scan, TCP SYN scan) from Kali Linux against a target VM to identify open ports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03/09/26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>
          <w:trHeight w:val="546" w:hRule="atLeast"/>
        </w:trPr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13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Capture and analyze network traffic between Kali and a target VM using Wireshark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10/09/26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  <w:tr>
        <w:trPr/>
        <w:tc>
          <w:tcPr>
            <w:tcW w:w="748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14</w:t>
            </w:r>
          </w:p>
        </w:tc>
        <w:tc>
          <w:tcPr>
            <w:tcW w:w="520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start"/>
              <w:rPr/>
            </w:pPr>
            <w:r>
              <w:rPr>
                <w:b w:val="false"/>
                <w:bCs w:val="false"/>
                <w:sz w:val="17"/>
                <w:szCs w:val="17"/>
              </w:rPr>
              <w:t>Generate a sample password hash and crack it using John the Ripper / hashcat on Kali to demonstrate weak-password risk</w:t>
            </w:r>
          </w:p>
        </w:tc>
        <w:tc>
          <w:tcPr>
            <w:tcW w:w="153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ind w:hanging="0" w:start="0"/>
              <w:jc w:val="center"/>
              <w:rPr/>
            </w:pPr>
            <w:r>
              <w:rPr>
                <w:b w:val="false"/>
                <w:bCs w:val="false"/>
                <w:sz w:val="18"/>
                <w:szCs w:val="18"/>
              </w:rPr>
              <w:t>17/09/26</w:t>
            </w:r>
          </w:p>
        </w:tc>
        <w:tc>
          <w:tcPr>
            <w:tcW w:w="108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7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  <w:tc>
          <w:tcPr>
            <w:tcW w:w="112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/>
            </w:pPr>
            <w:r>
              <w:rPr/>
            </w:r>
          </w:p>
        </w:tc>
      </w:tr>
    </w:tbl>
    <w:p>
      <w:pPr>
        <w:pStyle w:val="Normal"/>
        <w:spacing w:before="0" w:after="60"/>
        <w:jc w:val="start"/>
        <w:rPr/>
      </w:pPr>
      <w:r>
        <w:rPr>
          <w:b w:val="false"/>
          <w:bCs w:val="false"/>
          <w:sz w:val="12"/>
          <w:szCs w:val="12"/>
        </w:rPr>
        <w:t xml:space="preserve"> </w:t>
      </w:r>
    </w:p>
    <w:p>
      <w:pPr>
        <w:pStyle w:val="Normal"/>
        <w:spacing w:before="0" w:after="40"/>
        <w:jc w:val="start"/>
        <w:rPr>
          <w:b w:val="false"/>
          <w:bCs w:val="false"/>
          <w:sz w:val="18"/>
          <w:szCs w:val="18"/>
        </w:rPr>
      </w:pPr>
      <w:r>
        <w:rPr/>
      </w:r>
    </w:p>
    <w:tbl>
      <w:tblPr>
        <w:tblW w:w="5000" w:type="pct"/>
        <w:jc w:val="start"/>
        <w:tblInd w:w="0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566"/>
        <w:gridCol w:w="3566"/>
        <w:gridCol w:w="3567"/>
      </w:tblGrid>
      <w:tr>
        <w:trPr/>
        <w:tc>
          <w:tcPr>
            <w:tcW w:w="3566" w:type="dxa"/>
            <w:tcBorders/>
            <w:shd w:fill="FFFFFF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66" w:type="dxa"/>
            <w:tcBorders/>
            <w:shd w:fill="FFFFFF" w:val="clear"/>
          </w:tcPr>
          <w:p>
            <w:pPr>
              <w:pStyle w:val="TableContents"/>
              <w:rPr/>
            </w:pPr>
            <w:r>
              <w:rPr/>
            </w:r>
          </w:p>
        </w:tc>
        <w:tc>
          <w:tcPr>
            <w:tcW w:w="3567" w:type="dxa"/>
            <w:tcBorders/>
            <w:shd w:fill="FFFFFF" w:val="clear"/>
          </w:tcPr>
          <w:p>
            <w:pPr>
              <w:pStyle w:val="TableContents"/>
              <w:rPr/>
            </w:pPr>
            <w:r>
              <w:rPr/>
            </w:r>
          </w:p>
        </w:tc>
      </w:tr>
      <w:tr>
        <w:trPr/>
        <w:tc>
          <w:tcPr>
            <w:tcW w:w="3566" w:type="dxa"/>
            <w:tcBorders/>
            <w:shd w:fill="FFFFFF" w:val="clear"/>
          </w:tcPr>
          <w:p>
            <w:pPr>
              <w:pStyle w:val="TableContents"/>
              <w:jc w:val="center"/>
              <w:rPr/>
            </w:pPr>
            <w:r>
              <w:rPr/>
              <w:t xml:space="preserve">Subject Faculty </w:t>
            </w:r>
          </w:p>
        </w:tc>
        <w:tc>
          <w:tcPr>
            <w:tcW w:w="3566" w:type="dxa"/>
            <w:tcBorders/>
            <w:shd w:fill="FFFFFF" w:val="clear"/>
          </w:tcPr>
          <w:p>
            <w:pPr>
              <w:pStyle w:val="TableContents"/>
              <w:jc w:val="center"/>
              <w:rPr/>
            </w:pPr>
            <w:r>
              <w:rPr/>
              <w:t>Head of Department</w:t>
            </w:r>
          </w:p>
        </w:tc>
        <w:tc>
          <w:tcPr>
            <w:tcW w:w="3567" w:type="dxa"/>
            <w:tcBorders/>
            <w:shd w:fill="FFFFFF" w:val="clear"/>
          </w:tcPr>
          <w:p>
            <w:pPr>
              <w:pStyle w:val="TableContents"/>
              <w:jc w:val="center"/>
              <w:rPr/>
            </w:pPr>
            <w:r>
              <w:rPr/>
              <w:t>Principal</w:t>
            </w:r>
          </w:p>
        </w:tc>
      </w:tr>
    </w:tbl>
    <w:p>
      <w:pPr>
        <w:pStyle w:val="Normal"/>
        <w:spacing w:before="300" w:after="0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</w:p>
    <w:sectPr>
      <w:type w:val="nextPage"/>
      <w:pgSz w:w="12139" w:h="16838"/>
      <w:pgMar w:left="720" w:right="720" w:gutter="0" w:header="0" w:top="720" w:footer="0" w:bottom="72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9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erif CJK SC" w:cs="Noto Sans Devanagari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user">
    <w:name w:val="Footnote Characters (user)"/>
    <w:uiPriority w:val="99"/>
    <w:semiHidden/>
    <w:unhideWhenUsed/>
    <w:qFormat/>
    <w:rPr>
      <w:vertAlign w:val="superscript"/>
    </w:rPr>
  </w:style>
  <w:style w:type="character" w:styleId="FootnoteCharacters">
    <w:name w:val="Footnote Characters"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user">
    <w:name w:val="Endnote Characters (user)"/>
    <w:uiPriority w:val="99"/>
    <w:semiHidden/>
    <w:unhideWhenUsed/>
    <w:qFormat/>
    <w:rPr>
      <w:vertAlign w:val="superscript"/>
    </w:rPr>
  </w:style>
  <w:style w:type="character" w:styleId="EndnoteCharacters">
    <w:name w:val="Endnote Characters"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b/>
      <w:bCs/>
      <w:color w:val="auto"/>
      <w:kern w:val="0"/>
      <w:sz w:val="20"/>
      <w:szCs w:val="20"/>
      <w:lang w:val="en-US" w:eastAsia="zh-CN" w:bidi="hi-IN"/>
    </w:rPr>
  </w:style>
  <w:style w:type="paragraph" w:styleId="ListParagraph">
    <w:name w:val="List Paragraph"/>
    <w:qFormat/>
    <w:pPr>
      <w:widowControl/>
      <w:suppressAutoHyphens w:val="true"/>
      <w:bidi w:val="0"/>
      <w:spacing w:before="0" w:after="0"/>
      <w:jc w:val="start"/>
    </w:pPr>
    <w:rPr>
      <w:rFonts w:ascii="Times New Roman" w:hAnsi="Times New Roman" w:eastAsia="Noto Serif CJK SC" w:cs="Noto Sans Devanagari"/>
      <w:color w:val="auto"/>
      <w:kern w:val="0"/>
      <w:sz w:val="20"/>
      <w:szCs w:val="20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30</TotalTime>
  <Application>LibreOffice/26.2.4.2$Linux_X86_64 LibreOffice_project/620$Build-2</Application>
  <AppVersion>15.0000</AppVersion>
  <Pages>1</Pages>
  <Words>348</Words>
  <Characters>1954</Characters>
  <CharactersWithSpaces>2224</CharactersWithSpaces>
  <Paragraphs>95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2026-08-16T10:46:41Z</dcterms:created>
  <dc:creator>Un-named</dc:creator>
  <dc:description/>
  <dc:language>en-US</dc:language>
  <cp:lastModifiedBy/>
  <dcterms:modified xsi:type="dcterms:W3CDTF">2026-08-16T19:55:06Z</dcterms:modified>
  <cp:revision>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