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맑은 고딕" w:cs="맑은 고딕" w:eastAsia="맑은 고딕" w:hAnsi="맑은 고딕"/>
          <w:b/>
          <w:bCs/>
          <w:color w:val="1F3864"/>
          <w:sz w:val="40"/>
          <w:szCs w:val="40"/>
        </w:rPr>
        <w:t xml:space="preserve">건물 소유·운영주체의</w:t>
      </w:r>
    </w:p>
    <w:p>
      <w:pPr>
        <w:spacing w:after="320"/>
        <w:jc w:val="center"/>
      </w:pPr>
      <w:r>
        <w:rPr>
          <w:rFonts w:ascii="맑은 고딕" w:cs="맑은 고딕" w:eastAsia="맑은 고딕" w:hAnsi="맑은 고딕"/>
          <w:b/>
          <w:bCs/>
          <w:color w:val="1F3864"/>
          <w:sz w:val="40"/>
          <w:szCs w:val="40"/>
        </w:rPr>
        <w:t xml:space="preserve">로봇 도입 니즈 조사</w:t>
      </w:r>
    </w:p>
    <w:p>
      <w:pPr>
        <w:spacing w:after="100"/>
        <w:jc w:val="center"/>
      </w:pPr>
      <w:r>
        <w:rPr>
          <w:rFonts w:ascii="맑은 고딕" w:cs="맑은 고딕" w:eastAsia="맑은 고딕" w:hAnsi="맑은 고딕"/>
          <w:color w:val="595959"/>
          <w:sz w:val="24"/>
          <w:szCs w:val="24"/>
        </w:rPr>
        <w:t xml:space="preserve">AI 페르소나 기반 탐색 조사 및 데스크 리서치 결과</w:t>
      </w:r>
    </w:p>
    <w:p>
      <w:pPr>
        <w:spacing w:after="600"/>
        <w:jc w:val="center"/>
      </w:pPr>
      <w:r>
        <w:rPr>
          <w:rFonts w:ascii="맑은 고딕" w:cs="맑은 고딕" w:eastAsia="맑은 고딕" w:hAnsi="맑은 고딕"/>
          <w:color w:val="2E5C8A"/>
          <w:sz w:val="22"/>
          <w:szCs w:val="22"/>
        </w:rPr>
        <w:t xml:space="preserve">오피스 · 물류센터 · 데이터센터 · 제조공장</w:t>
      </w:r>
    </w:p>
    <w:p>
      <w:pPr>
        <w:spacing w:after="80"/>
        <w:jc w:val="center"/>
      </w:pPr>
      <w:r>
        <w:rPr>
          <w:rFonts w:ascii="맑은 고딕" w:cs="맑은 고딕" w:eastAsia="맑은 고딕" w:hAnsi="맑은 고딕"/>
          <w:color w:val="595959"/>
          <w:sz w:val="20"/>
          <w:szCs w:val="20"/>
        </w:rPr>
        <w:t xml:space="preserve">2026년 8월 6일</w:t>
      </w:r>
    </w:p>
    <w:p>
      <w:pPr>
        <w:spacing w:after="80"/>
      </w:pPr>
    </w:p>
    <w:p>
      <w:pPr>
        <w:spacing w:after="80"/>
      </w:pPr>
    </w:p>
    <w:p>
      <w:pPr>
        <w:spacing w:after="80"/>
      </w:pPr>
    </w:p>
    <w:p>
      <w:pPr>
        <w:spacing w:after="80"/>
      </w:pPr>
    </w:p>
    <w:p>
      <w:pPr>
        <w:pBdr>
          <w:left w:val="single" w:color="A03030" w:sz="24" w:space="8"/>
        </w:pBdr>
        <w:shd w:fill="F2F2F2" w:val="clear"/>
        <w:spacing w:after="0" w:before="200"/>
        <w:ind w:left="180" w:right="180"/>
      </w:pPr>
      <w:r>
        <w:rPr>
          <w:rFonts w:ascii="맑은 고딕" w:cs="맑은 고딕" w:eastAsia="맑은 고딕" w:hAnsi="맑은 고딕"/>
          <w:b/>
          <w:bCs/>
          <w:color w:val="A03030"/>
          <w:sz w:val="20"/>
          <w:szCs w:val="20"/>
        </w:rPr>
        <w:t xml:space="preserve">⚠ 이 문서의 지위 — 읽기 전 반드시 확인하십시오</w:t>
      </w:r>
    </w:p>
    <w:p>
      <w:pPr>
        <w:pBdr>
          <w:left w:val="single" w:color="A03030"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Ⅳ장·Ⅴ장의 인터뷰 발언과 수치는 AI가 생성한 것이며 실제 고객 데이터가 아닙니다.</w:t>
      </w:r>
    </w:p>
    <w:p>
      <w:pPr>
        <w:pBdr>
          <w:left w:val="single" w:color="A03030" w:sz="24" w:space="8"/>
        </w:pBdr>
        <w:shd w:fill="F2F2F2" w:val="clear"/>
        <w:spacing w:after="60" w:before="60" w:line="300"/>
        <w:ind w:left="180" w:right="180"/>
      </w:pPr>
      <w:r>
        <w:rPr>
          <w:rFonts w:ascii="맑은 고딕" w:cs="맑은 고딕" w:eastAsia="맑은 고딕" w:hAnsi="맑은 고딕"/>
          <w:color w:val="333333"/>
          <w:sz w:val="19"/>
          <w:szCs w:val="19"/>
        </w:rPr>
        <w:t xml:space="preserve">「🔸」 표시가 붙은 금액은 모두 추정치입니다. 사업계획서·IR·투자유치 자료에 인용하면 안 됩니다.</w:t>
      </w:r>
    </w:p>
    <w:p>
      <w:pPr>
        <w:pBdr>
          <w:left w:val="single" w:color="A03030"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Ⅵ장(데스크 리서치)만이 외부 자료로 확인된 내용이며, 그마저도 검색 결과 기반 2차 정보입니다.</w:t>
      </w:r>
    </w:p>
    <w:p>
      <w:pPr>
        <w:pBdr>
          <w:left w:val="single" w:color="A03030" w:sz="24" w:space="8"/>
        </w:pBdr>
        <w:shd w:fill="F2F2F2" w:val="clear"/>
        <w:spacing w:after="200" w:before="60" w:line="300"/>
        <w:ind w:left="180" w:right="180"/>
      </w:pPr>
      <w:r>
        <w:rPr>
          <w:rFonts w:ascii="맑은 고딕" w:cs="맑은 고딕" w:eastAsia="맑은 고딕" w:hAnsi="맑은 고딕"/>
          <w:color w:val="333333"/>
          <w:sz w:val="19"/>
          <w:szCs w:val="19"/>
        </w:rPr>
        <w:t xml:space="preserve">이 조사의 산출물은 결론이 아니라 「Ⅶ장 검증 가설 10개」와 「Ⅷ장 인터뷰 스크립트」입니다.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20" w:before="200" w:line="300"/>
      </w:pPr>
      <w:r>
        <w:rPr>
          <w:rFonts w:ascii="맑은 고딕" w:cs="맑은 고딕" w:eastAsia="맑은 고딕" w:hAnsi="맑은 고딕"/>
          <w:color w:val="595959"/>
          <w:sz w:val="20"/>
          <w:szCs w:val="20"/>
        </w:rPr>
        <w:t xml:space="preserve">※ 목차 숫자를 갱신하려면 Word에서 목차 위 우클릭 → 「필드 업데이트」를 실행하십시오.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Ⅰ. 핵심 요약</w:t>
      </w:r>
    </w:p>
    <w:p>
      <w:pPr>
        <w:pStyle w:val="Heading2"/>
        <w:spacing w:after="140" w:before="320"/>
      </w:pPr>
      <w:r>
        <w:rPr>
          <w:rFonts w:ascii="맑은 고딕" w:cs="맑은 고딕" w:eastAsia="맑은 고딕" w:hAnsi="맑은 고딕"/>
          <w:b/>
          <w:bCs/>
          <w:color w:val="2E5C8A"/>
          <w:sz w:val="24"/>
          <w:szCs w:val="24"/>
        </w:rPr>
        <w:t xml:space="preserve">1. 이 조사가 답한 질문</w:t>
      </w:r>
    </w:p>
    <w:p>
      <w:pPr>
        <w:spacing w:after="120" w:before="0" w:line="300"/>
      </w:pPr>
      <w:r>
        <w:rPr>
          <w:rFonts w:ascii="맑은 고딕" w:cs="맑은 고딕" w:eastAsia="맑은 고딕" w:hAnsi="맑은 고딕"/>
          <w:sz w:val="20"/>
          <w:szCs w:val="20"/>
        </w:rPr>
        <w:t xml:space="preserve">오피스·물류센터·데이터센터·제조공장 4개 세그먼트의 건물 소유·운영주체가 로봇 도입에 니즈를 갖고 있는지, 있다면 어떤 서비스인지를 조사했습니다. 조사 과정에서 질문 자체가 한 번 재정의되었습니다.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"니즈가 있는가"보다 "누가 돈을 내는가"가 도입 여부를 더 강하게 결정합니다.</w:t>
      </w:r>
    </w:p>
    <w:p>
      <w:pPr>
        <w:pStyle w:val="Heading2"/>
        <w:spacing w:after="140" w:before="320"/>
      </w:pPr>
      <w:r>
        <w:rPr>
          <w:rFonts w:ascii="맑은 고딕" w:cs="맑은 고딕" w:eastAsia="맑은 고딕" w:hAnsi="맑은 고딕"/>
          <w:b/>
          <w:bCs/>
          <w:color w:val="2E5C8A"/>
          <w:sz w:val="24"/>
          <w:szCs w:val="24"/>
        </w:rPr>
        <w:t xml:space="preserve">2. 결론 5가지</w:t>
      </w:r>
    </w:p>
    <w:p>
      <w:pPr>
        <w:pStyle w:val="Heading3"/>
        <w:spacing w:after="100" w:before="240"/>
      </w:pPr>
      <w:r>
        <w:rPr>
          <w:rFonts w:ascii="맑은 고딕" w:cs="맑은 고딕" w:eastAsia="맑은 고딕" w:hAnsi="맑은 고딕"/>
          <w:b/>
          <w:bCs/>
          <w:color w:val="000000"/>
          <w:sz w:val="21"/>
          <w:szCs w:val="21"/>
        </w:rPr>
        <w:t xml:space="preserve">① 「건물 소유주」는 대부분 로봇 구매 의사결정자가 아닙니다</w:t>
      </w:r>
    </w:p>
    <w:p>
      <w:pPr>
        <w:spacing w:after="120" w:before="0" w:line="300"/>
      </w:pPr>
      <w:r>
        <w:rPr>
          <w:rFonts w:ascii="맑은 고딕" w:cs="맑은 고딕" w:eastAsia="맑은 고딕" w:hAnsi="맑은 고딕"/>
          <w:sz w:val="20"/>
          <w:szCs w:val="20"/>
        </w:rPr>
        <w:t xml:space="preserve">오피스와 물류센터는 소유와 운영이 분리되어 있어, 소유주는 CAPEX를 기피하고 운영사(FM사·3PL)는 위탁계약 기간이 회수기간보다 짧아 투자하지 못합니다. 데이터센터와 제조공장은 소유=운영이라 이 문제가 없고, 대신 각각 보안 승인과 ROI 심사가 관문입니다.</w:t>
      </w:r>
    </w:p>
    <w:p>
      <w:pPr>
        <w:pStyle w:val="Heading3"/>
        <w:spacing w:after="100" w:before="240"/>
      </w:pPr>
      <w:r>
        <w:rPr>
          <w:rFonts w:ascii="맑은 고딕" w:cs="맑은 고딕" w:eastAsia="맑은 고딕" w:hAnsi="맑은 고딕"/>
          <w:b/>
          <w:bCs/>
          <w:color w:val="000000"/>
          <w:sz w:val="21"/>
          <w:szCs w:val="21"/>
        </w:rPr>
        <w:t xml:space="preserve">② 니즈보다 「예산 경로」가 도입 성사를 결정합니다</w:t>
      </w:r>
    </w:p>
    <w:p>
      <w:pPr>
        <w:spacing w:after="120" w:before="0" w:line="300"/>
      </w:pPr>
      <w:r>
        <w:rPr>
          <w:rFonts w:ascii="맑은 고딕" w:cs="맑은 고딕" w:eastAsia="맑은 고딕" w:hAnsi="맑은 고딕"/>
          <w:sz w:val="20"/>
          <w:szCs w:val="20"/>
        </w:rPr>
        <w:t xml:space="preserve">같은 로봇이라도 안전보건 예산으로 사면 회수기간 심사를 받지 않고, 설비투자 예산으로 사면 회수기간 2년을 요구받습니다. 제조 세그먼트의 세 페르소나가 독립적으로 「안전 예산으로 가라」고 답했으며, ROI 심사 담당자 본인이 그렇게 말했습니다.</w:t>
      </w:r>
    </w:p>
    <w:p>
      <w:pPr>
        <w:pStyle w:val="Heading3"/>
        <w:spacing w:after="100" w:before="240"/>
      </w:pPr>
      <w:r>
        <w:rPr>
          <w:rFonts w:ascii="맑은 고딕" w:cs="맑은 고딕" w:eastAsia="맑은 고딕" w:hAnsi="맑은 고딕"/>
          <w:b/>
          <w:bCs/>
          <w:color w:val="000000"/>
          <w:sz w:val="21"/>
          <w:szCs w:val="21"/>
        </w:rPr>
        <w:t xml:space="preserve">③ 인건비 절감 논리는 겸직 구조에서 무너집니다</w:t>
      </w:r>
    </w:p>
    <w:p>
      <w:pPr>
        <w:spacing w:after="120" w:before="0" w:line="300"/>
      </w:pPr>
      <w:r>
        <w:rPr>
          <w:rFonts w:ascii="맑은 고딕" w:cs="맑은 고딕" w:eastAsia="맑은 고딕" w:hAnsi="맑은 고딕"/>
          <w:sz w:val="20"/>
          <w:szCs w:val="20"/>
        </w:rPr>
        <w:t xml:space="preserve">로봇은 업무의 일부만 가져가는데 인력은 정수 단위로만 줄어듭니다. 서로 다른 세 세그먼트에서 같은 구조가 지적되었고, 데스크 리서치에서 시장이 이미 「바닥은 로봇·화장실은 사람」이라는 역할 재편 모델로 수렴했음이 확인되었습니다.</w:t>
      </w:r>
    </w:p>
    <w:p>
      <w:pPr>
        <w:pStyle w:val="Heading3"/>
        <w:spacing w:after="100" w:before="240"/>
      </w:pPr>
      <w:r>
        <w:rPr>
          <w:rFonts w:ascii="맑은 고딕" w:cs="맑은 고딕" w:eastAsia="맑은 고딕" w:hAnsi="맑은 고딕"/>
          <w:b/>
          <w:bCs/>
          <w:color w:val="000000"/>
          <w:sz w:val="21"/>
          <w:szCs w:val="21"/>
        </w:rPr>
        <w:t xml:space="preserve">④ 실제 구매 동인은 인건비 절감이 아니었습니다</w:t>
      </w:r>
    </w:p>
    <w:p>
      <w:pPr>
        <w:spacing w:after="120" w:before="0" w:line="300"/>
      </w:pPr>
      <w:r>
        <w:rPr>
          <w:rFonts w:ascii="맑은 고딕" w:cs="맑은 고딕" w:eastAsia="맑은 고딕" w:hAnsi="맑은 고딕"/>
          <w:sz w:val="20"/>
          <w:szCs w:val="20"/>
        </w:rPr>
        <w:t xml:space="preserve">「인력을 못 줄여도 도입할 이유가 있는가」라는 질문에 12개 페르소나 전원이 「있다」고 답했습니다. 가장 강한 것은 FM사·도급사의 「입찰 수주 경쟁력」이며, 데스크 리서치에서 확인된 용역 원가 산식이 이를 뒷받침합니다. FM사의 이윤은 인건비에 비례하므로, 인건비를 줄이면 FM사 이익도 함께 줄어듭니다.</w:t>
      </w:r>
    </w:p>
    <w:p>
      <w:pPr>
        <w:pStyle w:val="Heading3"/>
        <w:spacing w:after="100" w:before="240"/>
      </w:pPr>
      <w:r>
        <w:rPr>
          <w:rFonts w:ascii="맑은 고딕" w:cs="맑은 고딕" w:eastAsia="맑은 고딕" w:hAnsi="맑은 고딕"/>
          <w:b/>
          <w:bCs/>
          <w:color w:val="000000"/>
          <w:sz w:val="21"/>
          <w:szCs w:val="21"/>
        </w:rPr>
        <w:t xml:space="preserve">⑤ 계약 구조 선호가 세그먼트별로 정반대입니다</w:t>
      </w:r>
    </w:p>
    <w:p>
      <w:pPr>
        <w:spacing w:after="120" w:before="0" w:line="300"/>
      </w:pPr>
      <w:r>
        <w:rPr>
          <w:rFonts w:ascii="맑은 고딕" w:cs="맑은 고딕" w:eastAsia="맑은 고딕" w:hAnsi="맑은 고딕"/>
          <w:sz w:val="20"/>
          <w:szCs w:val="20"/>
        </w:rPr>
        <w:t xml:space="preserve">오피스는 전원 구독, 제조는 전원 구매, 데이터센터는 보안 때문에 구매를 강제받습니다(원격 관제가 오히려 감점 요인). 물류는 소유·운영·화주가 각각 다른 방식을 원합니다. 단일 사업모델로 4개 세그먼트를 커버할 수 없습니다.</w:t>
      </w:r>
    </w:p>
    <w:p>
      <w:pPr>
        <w:pStyle w:val="Heading2"/>
        <w:spacing w:after="140" w:before="320"/>
      </w:pPr>
      <w:r>
        <w:rPr>
          <w:rFonts w:ascii="맑은 고딕" w:cs="맑은 고딕" w:eastAsia="맑은 고딕" w:hAnsi="맑은 고딕"/>
          <w:b/>
          <w:bCs/>
          <w:color w:val="2E5C8A"/>
          <w:sz w:val="24"/>
          <w:szCs w:val="24"/>
        </w:rPr>
        <w:t xml:space="preserve">3. 데스크 리서치가 바꾼 것</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600"/>
        <w:gridCol w:w="2400"/>
        <w:gridCol w:w="5026"/>
      </w:tblGrid>
      <w:tr>
        <w:trPr>
          <w:tblHeader/>
        </w:trPr>
        <w:tc>
          <w:tcPr>
            <w:tcW w:type="dxa" w:w="16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항목</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조사 전</w:t>
            </w:r>
          </w:p>
        </w:tc>
        <w:tc>
          <w:tcPr>
            <w:tcW w:type="dxa" w:w="50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조사 후</w:t>
            </w:r>
          </w:p>
        </w:tc>
      </w:tr>
      <w:tr>
        <w:tc>
          <w:tcPr>
            <w:tcW w:type="dxa" w:w="1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FM사 구매 동인</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인건비 절감으로 추정</w:t>
            </w:r>
          </w:p>
        </w:tc>
        <w:tc>
          <w:tcPr>
            <w:tcW w:type="dxa" w:w="5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원가 산식상 절감은 FM사 손해 → 「입찰 수주」가 진짜 동인</w:t>
            </w:r>
          </w:p>
        </w:tc>
      </w:tr>
      <w:tr>
        <w:tc>
          <w:tcPr>
            <w:tcW w:type="dxa" w:w="1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RaaS의 가치</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초기 비용 절감</w:t>
            </w:r>
          </w:p>
        </w:tc>
        <w:tc>
          <w:tcPr>
            <w:tcW w:type="dxa" w:w="5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조달청이 순찰로봇 임대 계약 개설 — 심사·책임 구조가 진짜 이유</w:t>
            </w:r>
          </w:p>
        </w:tc>
      </w:tr>
      <w:tr>
        <w:tc>
          <w:tcPr>
            <w:tcW w:type="dxa" w:w="1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안전 예산 경로</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가설</w:t>
            </w:r>
          </w:p>
        </w:tc>
        <w:tc>
          <w:tcPr>
            <w:tcW w:type="dxa" w:w="5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스마트 안전장비 산안비 100% 계상(2026.1.1~) 확인. 단 지원 대상은 50인 미만</w:t>
            </w:r>
          </w:p>
        </w:tc>
      </w:tr>
      <w:tr>
        <w:tc>
          <w:tcPr>
            <w:tcW w:type="dxa" w:w="1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 인력난</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핵심 전제</w:t>
            </w:r>
          </w:p>
        </w:tc>
        <w:tc>
          <w:tcPr>
            <w:tcW w:type="dxa" w:w="5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 경비원 공급 증가·20~30대 유입 확인 — 전제 부분 반박</w:t>
            </w:r>
          </w:p>
        </w:tc>
      </w:tr>
      <w:tr>
        <w:tc>
          <w:tcPr>
            <w:tcW w:type="dxa" w:w="1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경비업법 봉쇄</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1순위 확인 항목</w:t>
            </w:r>
          </w:p>
        </w:tc>
        <w:tc>
          <w:tcPr>
            <w:tcW w:type="dxa" w:w="5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확증 실패 → 우선순위 하향, 유권해석 질의로 전환</w:t>
            </w:r>
          </w:p>
        </w:tc>
      </w:tr>
      <w:tr>
        <w:tc>
          <w:tcPr>
            <w:tcW w:type="dxa" w:w="1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소유주 대상 전략</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가설</w:t>
            </w:r>
          </w:p>
        </w:tc>
        <w:tc>
          <w:tcPr>
            <w:tcW w:type="dxa" w:w="5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「로봇 친화형 건축물 인증제」(2022~) 이미 존재 → 전략 승격</w:t>
            </w:r>
          </w:p>
        </w:tc>
      </w:tr>
    </w:tbl>
    <w:p>
      <w:pPr>
        <w:pStyle w:val="Heading2"/>
        <w:spacing w:after="140" w:before="320"/>
      </w:pPr>
      <w:r>
        <w:rPr>
          <w:rFonts w:ascii="맑은 고딕" w:cs="맑은 고딕" w:eastAsia="맑은 고딕" w:hAnsi="맑은 고딕"/>
          <w:b/>
          <w:bCs/>
          <w:color w:val="2E5C8A"/>
          <w:sz w:val="24"/>
          <w:szCs w:val="24"/>
        </w:rPr>
        <w:t xml:space="preserve">4. 다음에 해야 할 일</w:t>
      </w:r>
    </w:p>
    <w:p>
      <w:pPr>
        <w:spacing w:after="120" w:before="0" w:line="300"/>
      </w:pPr>
      <w:r>
        <w:rPr>
          <w:rFonts w:ascii="맑은 고딕" w:cs="맑은 고딕" w:eastAsia="맑은 고딕" w:hAnsi="맑은 고딕"/>
          <w:sz w:val="20"/>
          <w:szCs w:val="20"/>
        </w:rPr>
        <w:t xml:space="preserve">이 조사는 여기서 끝나면 의미가 없습니다. 산출물은 검증 대상 가설 10개와 인터뷰 스크립트이며, 실제 고객 8명을 만나야 결론이 됩니다. 8명 중 최소 4명은 예산 집행자여야 합니다. 소유주만 만나면 「관심은 있는데 우리가 살 건 아니다」를 여덟 번 듣게 됩니다.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Ⅱ. 조사 설계</w:t>
      </w:r>
    </w:p>
    <w:p>
      <w:pPr>
        <w:pStyle w:val="Heading2"/>
        <w:spacing w:after="140" w:before="320"/>
      </w:pPr>
      <w:r>
        <w:rPr>
          <w:rFonts w:ascii="맑은 고딕" w:cs="맑은 고딕" w:eastAsia="맑은 고딕" w:hAnsi="맑은 고딕"/>
          <w:b/>
          <w:bCs/>
          <w:color w:val="2E5C8A"/>
          <w:sz w:val="24"/>
          <w:szCs w:val="24"/>
        </w:rPr>
        <w:t xml:space="preserve">1. 이 조사의 지위와 한계</w:t>
      </w:r>
    </w:p>
    <w:p>
      <w:pPr>
        <w:spacing w:after="120" w:before="0" w:line="300"/>
      </w:pPr>
      <w:r>
        <w:rPr>
          <w:rFonts w:ascii="맑은 고딕" w:cs="맑은 고딕" w:eastAsia="맑은 고딕" w:hAnsi="맑은 고딕"/>
          <w:sz w:val="20"/>
          <w:szCs w:val="20"/>
        </w:rPr>
        <w:t xml:space="preserve">AI 페르소나 조사는 답을 얻는 도구가 아니라 질문을 좁히는 도구입니다. LLM 페르소나는 긍정 편향이 강해 「이 로봇 필요하십니까」에는 거의 전부 「네」라고 답합니다. 그 답을 데이터로 쓰면 사업계획이 통째로 틀어집니다.</w:t>
      </w:r>
    </w:p>
    <w:p>
      <w:pPr>
        <w:spacing w:after="120" w:before="0" w:line="300"/>
      </w:pPr>
      <w:r>
        <w:rPr>
          <w:rFonts w:ascii="맑은 고딕" w:cs="맑은 고딕" w:eastAsia="맑은 고딕" w:hAnsi="맑은 고딕"/>
          <w:sz w:val="20"/>
          <w:szCs w:val="20"/>
        </w:rPr>
        <w:t xml:space="preserve">따라서 이 조사의 유효한 산출물은 다음 두 가지뿐입니다.</w:t>
      </w:r>
    </w:p>
    <w:p>
      <w:pPr>
        <w:pStyle w:val="ListParagraph"/>
        <w:numPr>
          <w:ilvl w:val="0"/>
          <w:numId w:val="2"/>
        </w:numPr>
        <w:spacing w:after="80" w:line="300"/>
      </w:pPr>
      <w:r>
        <w:rPr>
          <w:rFonts w:ascii="맑은 고딕" w:cs="맑은 고딕" w:eastAsia="맑은 고딕" w:hAnsi="맑은 고딕"/>
          <w:b/>
          <w:bCs/>
          <w:sz w:val="20"/>
          <w:szCs w:val="20"/>
        </w:rPr>
        <w:t xml:space="preserve">① 검증 가능한 가설 목록</w:t>
      </w:r>
      <w:r>
        <w:rPr>
          <w:rFonts w:ascii="맑은 고딕" w:cs="맑은 고딕" w:eastAsia="맑은 고딕" w:hAnsi="맑은 고딕"/>
          <w:sz w:val="20"/>
          <w:szCs w:val="20"/>
        </w:rPr>
        <w:t xml:space="preserve"> — 반증 조건을 포함한 형태 (Ⅶ장)</w:t>
      </w:r>
    </w:p>
    <w:p>
      <w:pPr>
        <w:pStyle w:val="ListParagraph"/>
        <w:numPr>
          <w:ilvl w:val="0"/>
          <w:numId w:val="2"/>
        </w:numPr>
        <w:spacing w:after="80" w:line="300"/>
      </w:pPr>
      <w:r>
        <w:rPr>
          <w:rFonts w:ascii="맑은 고딕" w:cs="맑은 고딕" w:eastAsia="맑은 고딕" w:hAnsi="맑은 고딕"/>
          <w:b/>
          <w:bCs/>
          <w:sz w:val="20"/>
          <w:szCs w:val="20"/>
        </w:rPr>
        <w:t xml:space="preserve">② 다듬어진 실제 고객 인터뷰 스크립트</w:t>
      </w:r>
      <w:r>
        <w:rPr>
          <w:rFonts w:ascii="맑은 고딕" w:cs="맑은 고딕" w:eastAsia="맑은 고딕" w:hAnsi="맑은 고딕"/>
          <w:sz w:val="20"/>
          <w:szCs w:val="20"/>
        </w:rPr>
        <w:t xml:space="preserve"> (Ⅷ장)</w:t>
      </w:r>
    </w:p>
    <w:p>
      <w:pPr>
        <w:pBdr>
          <w:left w:val="single" w:color="2E5C8A" w:sz="24" w:space="8"/>
        </w:pBdr>
        <w:shd w:fill="F2F2F2" w:val="clear"/>
        <w:spacing w:after="0" w:before="200"/>
        <w:ind w:left="180" w:right="180"/>
      </w:pPr>
      <w:r>
        <w:rPr>
          <w:rFonts w:ascii="맑은 고딕" w:cs="맑은 고딕" w:eastAsia="맑은 고딕" w:hAnsi="맑은 고딕"/>
          <w:b/>
          <w:bCs/>
          <w:color w:val="2E5C8A"/>
          <w:sz w:val="20"/>
          <w:szCs w:val="20"/>
        </w:rPr>
        <w:t xml:space="preserve">신뢰 구간</w:t>
      </w:r>
    </w:p>
    <w:p>
      <w:pPr>
        <w:pBdr>
          <w:left w:val="single" w:color="2E5C8A"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신뢰할 수 있는 것 — </w:t>
      </w:r>
      <w:r>
        <w:rPr>
          <w:rFonts w:ascii="맑은 고딕" w:cs="맑은 고딕" w:eastAsia="맑은 고딕" w:hAnsi="맑은 고딕"/>
          <w:color w:val="333333"/>
          <w:sz w:val="19"/>
          <w:szCs w:val="19"/>
        </w:rPr>
        <w:t xml:space="preserve">구조적 관찰. 세그먼트별 소유·운영 구조, 예산 경로별 심사 기준 차이, 계약 구조 선호의 분화, 거부권자의 저지 논리.</w:t>
      </w:r>
    </w:p>
    <w:p>
      <w:pPr>
        <w:pBdr>
          <w:left w:val="single" w:color="2E5C8A" w:sz="24" w:space="8"/>
        </w:pBdr>
        <w:shd w:fill="F2F2F2" w:val="clear"/>
        <w:spacing w:after="200" w:before="60" w:line="300"/>
        <w:ind w:left="180" w:right="180"/>
      </w:pPr>
      <w:r>
        <w:rPr>
          <w:rFonts w:ascii="맑은 고딕" w:cs="맑은 고딕" w:eastAsia="맑은 고딕" w:hAnsi="맑은 고딕"/>
          <w:b/>
          <w:bCs/>
          <w:color w:val="333333"/>
          <w:sz w:val="19"/>
          <w:szCs w:val="19"/>
        </w:rPr>
        <w:t xml:space="preserve">신뢰할 수 없는 것 — </w:t>
      </w:r>
      <w:r>
        <w:rPr>
          <w:rFonts w:ascii="맑은 고딕" w:cs="맑은 고딕" w:eastAsia="맑은 고딕" w:hAnsi="맑은 고딕"/>
          <w:color w:val="333333"/>
          <w:sz w:val="19"/>
          <w:szCs w:val="19"/>
        </w:rPr>
        <w:t xml:space="preserve">모든 금액(WTP·인건비·회수기간), 시장 규모, 서비스별 절대 우선순위, 경쟁 상황.</w:t>
      </w:r>
    </w:p>
    <w:p>
      <w:pPr>
        <w:pStyle w:val="Heading2"/>
        <w:spacing w:after="140" w:before="320"/>
      </w:pPr>
      <w:r>
        <w:rPr>
          <w:rFonts w:ascii="맑은 고딕" w:cs="맑은 고딕" w:eastAsia="맑은 고딕" w:hAnsi="맑은 고딕"/>
          <w:b/>
          <w:bCs/>
          <w:color w:val="2E5C8A"/>
          <w:sz w:val="24"/>
          <w:szCs w:val="24"/>
        </w:rPr>
        <w:t xml:space="preserve">2. 전제 1 — 소유주는 대부분 구매 의사결정자가 아니다</w:t>
      </w:r>
    </w:p>
    <w:p>
      <w:pPr>
        <w:spacing w:after="120" w:before="0" w:line="300"/>
      </w:pPr>
      <w:r>
        <w:rPr>
          <w:rFonts w:ascii="맑은 고딕" w:cs="맑은 고딕" w:eastAsia="맑은 고딕" w:hAnsi="맑은 고딕"/>
          <w:sz w:val="20"/>
          <w:szCs w:val="20"/>
        </w:rPr>
        <w:t xml:space="preserve">이 전제를 페르소나에 반영하지 않으면 조사 전체가 헛돕니다. 4개 세그먼트는 소유-운영 구조가 근본적으로 다르며, 이 차이가 니즈보다 도입 여부를 더 강하게 결정합니다.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2200"/>
        <w:gridCol w:w="2000"/>
        <w:gridCol w:w="1000"/>
        <w:gridCol w:w="2526"/>
      </w:tblGrid>
      <w:tr>
        <w:trPr>
          <w:tblHeader/>
        </w:trPr>
        <w:tc>
          <w:tcPr>
            <w:tcW w:type="dxa" w:w="1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세그먼트</w:t>
            </w:r>
          </w:p>
        </w:tc>
        <w:tc>
          <w:tcPr>
            <w:tcW w:type="dxa" w:w="2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소유 주체</w:t>
            </w:r>
          </w:p>
        </w:tc>
        <w:tc>
          <w:tcPr>
            <w:tcW w:type="dxa" w:w="2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실제 예산 집행자</w:t>
            </w:r>
          </w:p>
        </w:tc>
        <w:tc>
          <w:tcPr>
            <w:tcW w:type="dxa" w:w="1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소유·운영</w:t>
            </w:r>
          </w:p>
        </w:tc>
        <w:tc>
          <w:tcPr>
            <w:tcW w:type="dxa" w:w="25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구조적 난이도</w:t>
            </w:r>
          </w:p>
        </w:tc>
      </w:tr>
      <w:tr>
        <w:tc>
          <w:tcPr>
            <w:tcW w:type="dxa" w:w="1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c>
          <w:tcPr>
            <w:tcW w:type="dxa" w:w="2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리츠 / 부동산펀드 / 기업 사옥</w:t>
            </w:r>
          </w:p>
        </w:tc>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PM·FM 위탁운영사</w:t>
            </w:r>
          </w:p>
        </w:tc>
        <w:tc>
          <w:tcPr>
            <w:tcW w:type="dxa" w:w="1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분리</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높음 — 누가 사는지 불분명</w:t>
            </w:r>
          </w:p>
        </w:tc>
      </w:tr>
      <w:tr>
        <w:tc>
          <w:tcPr>
            <w:tcW w:type="dxa" w:w="1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물류센터</w:t>
            </w:r>
          </w:p>
        </w:tc>
        <w:tc>
          <w:tcPr>
            <w:tcW w:type="dxa" w:w="2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 리츠 / 개발사</w:t>
            </w:r>
          </w:p>
        </w:tc>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3PL 운영사 또는 화주</w:t>
            </w:r>
          </w:p>
        </w:tc>
        <w:tc>
          <w:tcPr>
            <w:tcW w:type="dxa" w:w="1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분리</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중간 — 운영사 예산은 명확</w:t>
            </w:r>
          </w:p>
        </w:tc>
      </w:tr>
      <w:tr>
        <w:tc>
          <w:tcPr>
            <w:tcW w:type="dxa" w:w="1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데이터센터</w:t>
            </w:r>
          </w:p>
        </w:tc>
        <w:tc>
          <w:tcPr>
            <w:tcW w:type="dxa" w:w="2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통신사 / 클라우드 / 코로케이션</w:t>
            </w:r>
          </w:p>
        </w:tc>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자체 인프라 운영조직</w:t>
            </w:r>
          </w:p>
        </w:tc>
        <w:tc>
          <w:tcPr>
            <w:tcW w:type="dxa" w:w="1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일치</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낮음 — 단 보안 승인이 관문</w:t>
            </w:r>
          </w:p>
        </w:tc>
      </w:tr>
      <w:tr>
        <w:tc>
          <w:tcPr>
            <w:tcW w:type="dxa" w:w="1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제조공장</w:t>
            </w:r>
          </w:p>
        </w:tc>
        <w:tc>
          <w:tcPr>
            <w:tcW w:type="dxa" w:w="2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제조기업 본인</w:t>
            </w:r>
          </w:p>
        </w:tc>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공장장 / 생산기술 / EHS</w:t>
            </w:r>
          </w:p>
        </w:tc>
        <w:tc>
          <w:tcPr>
            <w:tcW w:type="dxa" w:w="1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일치</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낮음 — 단 ROI 게이트가 관문</w:t>
            </w:r>
          </w:p>
        </w:tc>
      </w:tr>
    </w:tbl>
    <w:p>
      <w:pPr>
        <w:spacing w:after="120" w:before="120" w:line="300"/>
      </w:pPr>
      <w:r>
        <w:rPr>
          <w:rFonts w:ascii="맑은 고딕" w:cs="맑은 고딕" w:eastAsia="맑은 고딕" w:hAnsi="맑은 고딕"/>
          <w:b/>
          <w:bCs/>
          <w:sz w:val="20"/>
          <w:szCs w:val="20"/>
        </w:rPr>
        <w:t xml:space="preserve">소유·운영이 분리된 오피스·물류센터에서는 구조적 데드락이 발생합니다. </w:t>
      </w:r>
      <w:r>
        <w:rPr>
          <w:rFonts w:ascii="맑은 고딕" w:cs="맑은 고딕" w:eastAsia="맑은 고딕" w:hAnsi="맑은 고딕"/>
          <w:sz w:val="20"/>
          <w:szCs w:val="20"/>
        </w:rPr>
        <w:t xml:space="preserve">소유주는 CAPEX를 쓰면 수익률이 떨어진다고 보고, FM사는 위탁계약 기간이 회수기간보다 짧아 투자하지 못합니다. 이 데드락 자체가 이번 조사에서 가장 값어치 있는 발견이며, 최상위 가설이 되었습니다.</w:t>
      </w:r>
    </w:p>
    <w:p>
      <w:pPr>
        <w:pStyle w:val="Heading2"/>
        <w:spacing w:after="140" w:before="320"/>
      </w:pPr>
      <w:r>
        <w:rPr>
          <w:rFonts w:ascii="맑은 고딕" w:cs="맑은 고딕" w:eastAsia="맑은 고딕" w:hAnsi="맑은 고딕"/>
          <w:b/>
          <w:bCs/>
          <w:color w:val="2E5C8A"/>
          <w:sz w:val="24"/>
          <w:szCs w:val="24"/>
        </w:rPr>
        <w:t xml:space="preserve">3. 전제 2 — 페르소나 운용 4원칙</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4300"/>
        <w:gridCol w:w="30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원칙</w:t>
            </w:r>
          </w:p>
        </w:tc>
        <w:tc>
          <w:tcPr>
            <w:tcW w:type="dxa" w:w="4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구체적 실행</w:t>
            </w:r>
          </w:p>
        </w:tc>
        <w:tc>
          <w:tcPr>
            <w:tcW w:type="dxa" w:w="30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이유</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미래 의향 질문 금지</w:t>
            </w:r>
          </w:p>
        </w:tc>
        <w:tc>
          <w:tcPr>
            <w:tcW w:type="dxa" w:w="4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「도입하시겠습니까」 대신 「작년에 그 문제를 실제로 어떻게 처리하셨습니까」</w:t>
            </w:r>
          </w:p>
        </w:tc>
        <w:tc>
          <w:tcPr>
            <w:tcW w:type="dxa" w:w="3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의향은 부풀려지고 과거 행동은 부풀려지지 않음</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모든 정량 문항 총합 고정</w:t>
            </w:r>
          </w:p>
        </w:tc>
        <w:tc>
          <w:tcPr>
            <w:tcW w:type="dxa" w:w="4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예산 배분 합계 100 + 0점 항목 최소 6개 강제, MaxDiff 최선·최악 각 1개 강제</w:t>
            </w:r>
          </w:p>
        </w:tc>
        <w:tc>
          <w:tcPr>
            <w:tcW w:type="dxa" w:w="3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「모두 중요합니다」를 구조적으로 불가능하게 만듦</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거부권자를 별도로 세움</w:t>
            </w:r>
          </w:p>
        </w:tc>
        <w:tc>
          <w:tcPr>
            <w:tcW w:type="dxa" w:w="4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구매팀·보안·인력 도급사를 독립 페르소나로 인터뷰</w:t>
            </w:r>
          </w:p>
        </w:tc>
        <w:tc>
          <w:tcPr>
            <w:tcW w:type="dxa" w:w="3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저지 논리는 니즈보다 도입 성사를 잘 예측함</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합의가 아니라 분산을 봄</w:t>
            </w:r>
          </w:p>
        </w:tc>
        <w:tc>
          <w:tcPr>
            <w:tcW w:type="dxa" w:w="4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동일 페르소나 3회 독립 실행 후 답이 갈리는 지점을 기록</w:t>
            </w:r>
          </w:p>
        </w:tc>
        <w:tc>
          <w:tcPr>
            <w:tcW w:type="dxa" w:w="3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갈리는 지점이 곧 실제 고객에게 물어야 할 질문</w:t>
            </w:r>
          </w:p>
        </w:tc>
      </w:tr>
    </w:tbl>
    <w:p>
      <w:pPr>
        <w:pBdr>
          <w:left w:val="single" w:color="2E5C8A" w:sz="24" w:space="8"/>
        </w:pBdr>
        <w:shd w:fill="F2F2F2" w:val="clear"/>
        <w:spacing w:after="0" w:before="200"/>
        <w:ind w:left="180" w:right="180"/>
      </w:pPr>
      <w:r>
        <w:rPr>
          <w:rFonts w:ascii="맑은 고딕" w:cs="맑은 고딕" w:eastAsia="맑은 고딕" w:hAnsi="맑은 고딕"/>
          <w:b/>
          <w:bCs/>
          <w:color w:val="2E5C8A"/>
          <w:sz w:val="20"/>
          <w:szCs w:val="20"/>
        </w:rPr>
        <w:t xml:space="preserve">현재 진행 상태</w:t>
      </w:r>
    </w:p>
    <w:p>
      <w:pPr>
        <w:pBdr>
          <w:left w:val="single" w:color="2E5C8A" w:sz="24" w:space="8"/>
        </w:pBdr>
        <w:shd w:fill="F2F2F2" w:val="clear"/>
        <w:spacing w:after="60" w:before="60" w:line="300"/>
        <w:ind w:left="180" w:right="180"/>
      </w:pPr>
      <w:r>
        <w:rPr>
          <w:rFonts w:ascii="맑은 고딕" w:cs="맑은 고딕" w:eastAsia="맑은 고딕" w:hAnsi="맑은 고딕"/>
          <w:color w:val="333333"/>
          <w:sz w:val="19"/>
          <w:szCs w:val="19"/>
        </w:rPr>
        <w:t xml:space="preserve">4원칙 중 「3회 독립 실행」은 아직 1회차만 수행되어 분산 측정이 되지 않았습니다.</w:t>
      </w:r>
    </w:p>
    <w:p>
      <w:pPr>
        <w:pBdr>
          <w:left w:val="single" w:color="2E5C8A" w:sz="24" w:space="8"/>
        </w:pBdr>
        <w:shd w:fill="F2F2F2" w:val="clear"/>
        <w:spacing w:after="200" w:before="60" w:line="300"/>
        <w:ind w:left="180" w:right="180"/>
      </w:pPr>
      <w:r>
        <w:rPr>
          <w:rFonts w:ascii="맑은 고딕" w:cs="맑은 고딕" w:eastAsia="맑은 고딕" w:hAnsi="맑은 고딕"/>
          <w:color w:val="333333"/>
          <w:sz w:val="19"/>
          <w:szCs w:val="19"/>
        </w:rPr>
        <w:t xml:space="preserve">다만 실제 고객 인터뷰가 가능하다면 추가 시뮬레이션보다 그쪽이 항상 우선입니다. 3회 실행은 인터뷰 일정이 밀릴 때의 대체재입니다.</w:t>
      </w:r>
    </w:p>
    <w:p>
      <w:pPr>
        <w:pStyle w:val="Heading2"/>
        <w:spacing w:after="140" w:before="320"/>
      </w:pPr>
      <w:r>
        <w:rPr>
          <w:rFonts w:ascii="맑은 고딕" w:cs="맑은 고딕" w:eastAsia="맑은 고딕" w:hAnsi="맑은 고딕"/>
          <w:b/>
          <w:bCs/>
          <w:color w:val="2E5C8A"/>
          <w:sz w:val="24"/>
          <w:szCs w:val="24"/>
        </w:rPr>
        <w:t xml:space="preserve">4. 조사 절차</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5726"/>
        <w:gridCol w:w="2500"/>
      </w:tblGrid>
      <w:tr>
        <w:trPr>
          <w:tblHeader/>
        </w:trPr>
        <w:tc>
          <w:tcPr>
            <w:tcW w:type="dxa" w:w="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단계</w:t>
            </w:r>
          </w:p>
        </w:tc>
        <w:tc>
          <w:tcPr>
            <w:tcW w:type="dxa" w:w="57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작업</w:t>
            </w:r>
          </w:p>
        </w:tc>
        <w:tc>
          <w:tcPr>
            <w:tcW w:type="dxa" w:w="2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상태</w:t>
            </w:r>
          </w:p>
        </w:tc>
      </w:tr>
      <w:tr>
        <w:tc>
          <w:tcPr>
            <w:tcW w:type="dxa" w:w="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1</w:t>
            </w:r>
          </w:p>
        </w:tc>
        <w:tc>
          <w:tcPr>
            <w:tcW w:type="dxa" w:w="5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페르소나 및 서비스 카탈로그 설계</w:t>
            </w:r>
          </w:p>
        </w:tc>
        <w:tc>
          <w:tcPr>
            <w:tcW w:type="dxa" w:w="25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완료</w:t>
            </w:r>
          </w:p>
        </w:tc>
      </w:tr>
      <w:tr>
        <w:tc>
          <w:tcPr>
            <w:tcW w:type="dxa" w:w="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2</w:t>
            </w:r>
          </w:p>
        </w:tc>
        <w:tc>
          <w:tcPr>
            <w:tcW w:type="dxa" w:w="5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인터뷰 프로토콜 및 정량 도구 설계</w:t>
            </w:r>
          </w:p>
        </w:tc>
        <w:tc>
          <w:tcPr>
            <w:tcW w:type="dxa" w:w="25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완료</w:t>
            </w:r>
          </w:p>
        </w:tc>
      </w:tr>
      <w:tr>
        <w:tc>
          <w:tcPr>
            <w:tcW w:type="dxa" w:w="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3</w:t>
            </w:r>
          </w:p>
        </w:tc>
        <w:tc>
          <w:tcPr>
            <w:tcW w:type="dxa" w:w="5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시뮬레이션 인터뷰 (14 페르소나 × 1회)</w:t>
            </w:r>
          </w:p>
        </w:tc>
        <w:tc>
          <w:tcPr>
            <w:tcW w:type="dxa" w:w="25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완료 — 3회 실행은 미완</w:t>
            </w:r>
          </w:p>
        </w:tc>
      </w:tr>
      <w:tr>
        <w:tc>
          <w:tcPr>
            <w:tcW w:type="dxa" w:w="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4</w:t>
            </w:r>
          </w:p>
        </w:tc>
        <w:tc>
          <w:tcPr>
            <w:tcW w:type="dxa" w:w="5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종합 분석 및 가설 도출</w:t>
            </w:r>
          </w:p>
        </w:tc>
        <w:tc>
          <w:tcPr>
            <w:tcW w:type="dxa" w:w="25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완료</w:t>
            </w:r>
          </w:p>
        </w:tc>
      </w:tr>
      <w:tr>
        <w:tc>
          <w:tcPr>
            <w:tcW w:type="dxa" w:w="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5</w:t>
            </w:r>
          </w:p>
        </w:tc>
        <w:tc>
          <w:tcPr>
            <w:tcW w:type="dxa" w:w="5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데스크 리서치 5건</w:t>
            </w:r>
          </w:p>
        </w:tc>
        <w:tc>
          <w:tcPr>
            <w:tcW w:type="dxa" w:w="25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완료 — 일부 항목 확인 실패</w:t>
            </w:r>
          </w:p>
        </w:tc>
      </w:tr>
      <w:tr>
        <w:tc>
          <w:tcPr>
            <w:tcW w:type="dxa" w:w="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6</w:t>
            </w:r>
          </w:p>
        </w:tc>
        <w:tc>
          <w:tcPr>
            <w:tcW w:type="dxa" w:w="5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실제 고객 인터뷰 8건</w:t>
            </w:r>
          </w:p>
        </w:tc>
        <w:tc>
          <w:tcPr>
            <w:tcW w:type="dxa" w:w="25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미착수</w:t>
            </w:r>
          </w:p>
        </w:tc>
      </w:tr>
      <w:tr>
        <w:tc>
          <w:tcPr>
            <w:tcW w:type="dxa" w:w="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7</w:t>
            </w:r>
          </w:p>
        </w:tc>
        <w:tc>
          <w:tcPr>
            <w:tcW w:type="dxa" w:w="5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진입 전략 확정 (세그먼트 × 서비스 × 사업모델)</w:t>
            </w:r>
          </w:p>
        </w:tc>
        <w:tc>
          <w:tcPr>
            <w:tcW w:type="dxa" w:w="25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미착수</w:t>
            </w:r>
          </w:p>
        </w:tc>
      </w:tr>
    </w:tbl>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Ⅲ. 조사 대상 — 페르소나와 서비스</w:t>
      </w:r>
    </w:p>
    <w:p>
      <w:pPr>
        <w:pStyle w:val="Heading2"/>
        <w:spacing w:after="140" w:before="320"/>
      </w:pPr>
      <w:r>
        <w:rPr>
          <w:rFonts w:ascii="맑은 고딕" w:cs="맑은 고딕" w:eastAsia="맑은 고딕" w:hAnsi="맑은 고딕"/>
          <w:b/>
          <w:bCs/>
          <w:color w:val="2E5C8A"/>
          <w:sz w:val="24"/>
          <w:szCs w:val="24"/>
        </w:rPr>
        <w:t xml:space="preserve">1. 서비스 카탈로그 12종</w:t>
      </w:r>
    </w:p>
    <w:p>
      <w:pPr>
        <w:spacing w:after="120" w:before="0" w:line="300"/>
      </w:pPr>
      <w:r>
        <w:rPr>
          <w:rFonts w:ascii="맑은 고딕" w:cs="맑은 고딕" w:eastAsia="맑은 고딕" w:hAnsi="맑은 고딕"/>
          <w:sz w:val="20"/>
          <w:szCs w:val="20"/>
        </w:rPr>
        <w:t xml:space="preserve">모든 정량 문항이 이 12개 코드를 사용합니다. 페르소나별로 항목을 바꾸면 세그먼트 간 비교가 불가능해집니다.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3400"/>
        <w:gridCol w:w="2600"/>
        <w:gridCol w:w="2326"/>
      </w:tblGrid>
      <w:tr>
        <w:trPr>
          <w:tblHeader/>
        </w:trPr>
        <w:tc>
          <w:tcPr>
            <w:tcW w:type="dxa" w:w="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코드</w:t>
            </w:r>
          </w:p>
        </w:tc>
        <w:tc>
          <w:tcPr>
            <w:tcW w:type="dxa" w:w="3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서비스</w:t>
            </w:r>
          </w:p>
        </w:tc>
        <w:tc>
          <w:tcPr>
            <w:tcW w:type="dxa" w:w="26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대체 대상 업무</w:t>
            </w:r>
          </w:p>
        </w:tc>
        <w:tc>
          <w:tcPr>
            <w:tcW w:type="dxa" w:w="23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주요 적용</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S1</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실내 순찰·보안 로봇</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야간 경비원 순찰</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전 세그먼트</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S2</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바닥 청소 로봇 (자율주행)</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미화 인력 (광범위 바닥)</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오피스·물류·공장</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S3</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외벽 청소·고소작업 로봇</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로프공 / 곤돌라 작업</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S4</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설비 점검 로봇 (열화상·진동·계기판)</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설비 당직자 라운딩</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DC·공장·오피스</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S5</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실내 배송 로봇 (우편·문서·비품)</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사무보조 / 안내데스크</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S6</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 이송 AMR (팔레트·랙·대차)</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지게차 보조 / 사내 운반</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물류·공장</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S7</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피킹 / 디팔레타이징 로봇</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피커 / 상하차 인력</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S8</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재고 실사 로봇·드론 (RFID·비전)</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재고조사 인력</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물류·DC</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S9</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안전 감시 (위험구역·PPE·화기작업)</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안전관리자 현장 순회</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공장·물류</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S10</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방재·조기감지 순찰 (열·가스·누수)</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방재실 상주 + 순회점검</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DC·공장·물류</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S11</w:t>
            </w:r>
          </w:p>
        </w:tc>
        <w:tc>
          <w:tcPr>
            <w:tcW w:type="dxa" w:w="3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 랙 점검·자산 실사 로봇</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 운영 엔지니어 라운딩</w:t>
            </w:r>
          </w:p>
        </w:tc>
        <w:tc>
          <w:tcPr>
            <w:tcW w:type="dxa" w:w="2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S12</w:t>
            </w:r>
          </w:p>
        </w:tc>
        <w:tc>
          <w:tcPr>
            <w:tcW w:type="dxa" w:w="3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컨시어지·안내 로봇</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안내데스크 / 리셉션</w:t>
            </w:r>
          </w:p>
        </w:tc>
        <w:tc>
          <w:tcPr>
            <w:tcW w:type="dxa" w:w="2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r>
    </w:tbl>
    <w:p>
      <w:pPr>
        <w:pStyle w:val="Heading2"/>
        <w:spacing w:after="140" w:before="320"/>
      </w:pPr>
      <w:r>
        <w:rPr>
          <w:rFonts w:ascii="맑은 고딕" w:cs="맑은 고딕" w:eastAsia="맑은 고딕" w:hAnsi="맑은 고딕"/>
          <w:b/>
          <w:bCs/>
          <w:color w:val="2E5C8A"/>
          <w:sz w:val="24"/>
          <w:szCs w:val="24"/>
        </w:rPr>
        <w:t xml:space="preserve">2. 페르소나 14종</w:t>
      </w:r>
    </w:p>
    <w:p>
      <w:pPr>
        <w:spacing w:after="120" w:before="0" w:line="300"/>
      </w:pPr>
      <w:r>
        <w:rPr>
          <w:rFonts w:ascii="맑은 고딕" w:cs="맑은 고딕" w:eastAsia="맑은 고딕" w:hAnsi="맑은 고딕"/>
          <w:sz w:val="20"/>
          <w:szCs w:val="20"/>
        </w:rPr>
        <w:t xml:space="preserve">세그먼트 4 × 역할 3 = 12개에, 전 세그먼트 공통 거부권자 2개를 더했습니다. 거부권자는 니즈를 묻는 대상이 아니라 저지 논리를 수집하는 대상입니다.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500"/>
        <w:gridCol w:w="1100"/>
        <w:gridCol w:w="2300"/>
        <w:gridCol w:w="26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ID</w:t>
            </w:r>
          </w:p>
        </w:tc>
        <w:tc>
          <w:tcPr>
            <w:tcW w:type="dxa" w:w="2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페르소나</w:t>
            </w:r>
          </w:p>
        </w:tc>
        <w:tc>
          <w:tcPr>
            <w:tcW w:type="dxa" w:w="11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유형</w:t>
            </w:r>
          </w:p>
        </w:tc>
        <w:tc>
          <w:tcPr>
            <w:tcW w:type="dxa" w:w="2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핵심 KPI</w:t>
            </w:r>
          </w:p>
        </w:tc>
        <w:tc>
          <w:tcPr>
            <w:tcW w:type="dxa" w:w="26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가장 큰 통증</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오피스 리츠 자산운용역</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소유측</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NOI, 배당수익률, 공실률</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외벽 작업 인력 수급 및 사고 책임</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P2</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종합 FM사 운영본부장</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예산 집행자</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 마진율, 재계약률</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야간 경비·미화 결원</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P3</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프라임 오피스 시설관리소장</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현장</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임차인 민원, 설비 무정지</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새벽 결원, 설비 이상 조기감지 실패</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P4</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물류 리츠 투자운용역</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소유측</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임대율, 임대료 단가, 매각차익</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대응 스펙 미달로 임차 무산</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P5</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3PL 센터장</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예산 집행자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UPH, 인건비/오더, 산재</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성수기 인력 확보 실패</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P6</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이커머스 화주 SCM 임원</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수요측</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물류비율, 출고 준수율, 재고정확도</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재고 오차로 인한 결품·취소</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P7</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코로케이션 인프라 운영 총괄</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예산 집행자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가동률(uptime), PUE, SLA</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랙 자산 실사의 수작업 부담</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P8</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통신사 DC 시설운영 팀장</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현장</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무정전, 정기점검 이행률</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야간·주말 당직 라운딩</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P9</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DC 보안·컴플라이언스 책임자</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거부권자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보안 사고 0건, 인증 유지</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상면 내 동선 기록 부재</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P10</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중견 제조기업 공장장</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예산 집행자</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생산량, 불량률, 중대재해 0건</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안전 책임의 개인 귀속</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P11</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제조기업 안전환경(EHS) 팀장</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예산 집행자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재해율, 경영책임자 면책 근거</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규정과 실제 이행의 격차</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P12</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제조기업 생산기술 / 설비투자</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거부권자</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투자 회수기간, OEE</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절감액 산출 불가</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B1</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경비·미화 도급사 대표</w:t>
            </w:r>
          </w:p>
        </w:tc>
        <w:tc>
          <w:tcPr>
            <w:tcW w:type="dxa" w:w="1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거부권자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 물량, 단가 협상력</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본인도 인력 수급난</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B2</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대기업 구매팀 심사역</w:t>
            </w:r>
          </w:p>
        </w:tc>
        <w:tc>
          <w:tcPr>
            <w:tcW w:type="dxa" w:w="1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거부권자</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공급사 리스크, 감사 대응</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신기술 공급사의 존속 리스크</w:t>
            </w:r>
          </w:p>
        </w:tc>
      </w:tr>
    </w:tbl>
    <w:p>
      <w:pPr>
        <w:pStyle w:val="Heading2"/>
        <w:spacing w:after="140" w:before="320"/>
      </w:pPr>
      <w:r>
        <w:rPr>
          <w:rFonts w:ascii="맑은 고딕" w:cs="맑은 고딕" w:eastAsia="맑은 고딕" w:hAnsi="맑은 고딕"/>
          <w:b/>
          <w:bCs/>
          <w:color w:val="2E5C8A"/>
          <w:sz w:val="24"/>
          <w:szCs w:val="24"/>
        </w:rPr>
        <w:t xml:space="preserve">3. 정량 설문 도구</w:t>
      </w:r>
    </w:p>
    <w:p>
      <w:pPr>
        <w:spacing w:after="120" w:before="0" w:line="300"/>
      </w:pPr>
      <w:r>
        <w:rPr>
          <w:rFonts w:ascii="맑은 고딕" w:cs="맑은 고딕" w:eastAsia="맑은 고딕" w:hAnsi="맑은 고딕"/>
          <w:sz w:val="20"/>
          <w:szCs w:val="20"/>
        </w:rPr>
        <w:t xml:space="preserve">니즈를 묻기 전에 과거 행동과 저지 사유를 먼저 뽑아내는 것이 이 프로토콜의 핵심입니다. 순서를 바꾸면 긍정 편향이 전 문항에 전염됩니다.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1500"/>
        <w:gridCol w:w="3000"/>
        <w:gridCol w:w="3926"/>
      </w:tblGrid>
      <w:tr>
        <w:trPr>
          <w:tblHeader/>
        </w:trPr>
        <w:tc>
          <w:tcPr>
            <w:tcW w:type="dxa" w:w="6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순서</w:t>
            </w:r>
          </w:p>
        </w:tc>
        <w:tc>
          <w:tcPr>
            <w:tcW w:type="dxa" w:w="1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문항</w:t>
            </w:r>
          </w:p>
        </w:tc>
        <w:tc>
          <w:tcPr>
            <w:tcW w:type="dxa" w:w="3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도구</w:t>
            </w:r>
          </w:p>
        </w:tc>
        <w:tc>
          <w:tcPr>
            <w:tcW w:type="dxa" w:w="39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이 문항이 잡아내는 것</w:t>
            </w:r>
          </w:p>
        </w:tc>
      </w:tr>
      <w:tr>
        <w:tc>
          <w:tcPr>
            <w:tcW w:type="dxa" w:w="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w:t>
            </w:r>
          </w:p>
        </w:tc>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Q3 과거 행동</w:t>
            </w:r>
          </w:p>
        </w:tc>
        <w:tc>
          <w:tcPr>
            <w:tcW w:type="dxa" w:w="3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작년 실제 대응 + 지출 예산 항목</w:t>
            </w:r>
          </w:p>
        </w:tc>
        <w:tc>
          <w:tcPr>
            <w:tcW w:type="dxa" w:w="3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로봇이 실제로 경쟁할 예산. 「아무것도 안 했다」면 지불 의사 없음</w:t>
            </w:r>
          </w:p>
        </w:tc>
      </w:tr>
      <w:tr>
        <w:tc>
          <w:tcPr>
            <w:tcW w:type="dxa" w:w="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w:t>
            </w:r>
          </w:p>
        </w:tc>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Q6 도입 저지 사유</w:t>
            </w:r>
          </w:p>
        </w:tc>
        <w:tc>
          <w:tcPr>
            <w:tcW w:type="dxa" w:w="3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5개 강제 + 제기자 직책</w:t>
            </w:r>
          </w:p>
        </w:tc>
        <w:tc>
          <w:tcPr>
            <w:tcW w:type="dxa" w:w="3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의사결정 지도</w:t>
            </w:r>
          </w:p>
        </w:tc>
      </w:tr>
      <w:tr>
        <w:tc>
          <w:tcPr>
            <w:tcW w:type="dxa" w:w="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3</w:t>
            </w:r>
          </w:p>
        </w:tc>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Q1 예산 배분</w:t>
            </w:r>
          </w:p>
        </w:tc>
        <w:tc>
          <w:tcPr>
            <w:tcW w:type="dxa" w:w="3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합계 100, 0점 항목 최소 6개 강제</w:t>
            </w:r>
          </w:p>
        </w:tc>
        <w:tc>
          <w:tcPr>
            <w:tcW w:type="dxa" w:w="3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우선순위. 제약이 없으면 고르게 뿌려 정보량 0</w:t>
            </w:r>
          </w:p>
        </w:tc>
      </w:tr>
      <w:tr>
        <w:tc>
          <w:tcPr>
            <w:tcW w:type="dxa" w:w="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4</w:t>
            </w:r>
          </w:p>
        </w:tc>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Q2 MaxDiff</w:t>
            </w:r>
          </w:p>
        </w:tc>
        <w:tc>
          <w:tcPr>
            <w:tcW w:type="dxa" w:w="3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최선 1 / 최악 1 / 판단불가 1 강제</w:t>
            </w:r>
          </w:p>
        </w:tc>
        <w:tc>
          <w:tcPr>
            <w:tcW w:type="dxa" w:w="3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판단불가 항목이 곧 영업자료 목차</w:t>
            </w:r>
          </w:p>
        </w:tc>
      </w:tr>
      <w:tr>
        <w:tc>
          <w:tcPr>
            <w:tcW w:type="dxa" w:w="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w:t>
            </w:r>
          </w:p>
        </w:tc>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Q4 지불 의사</w:t>
            </w:r>
          </w:p>
        </w:tc>
        <w:tc>
          <w:tcPr>
            <w:tcW w:type="dxa" w:w="3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인건비 → 대체율 → 월 상한 → 회수기간</w:t>
            </w:r>
          </w:p>
        </w:tc>
        <w:tc>
          <w:tcPr>
            <w:tcW w:type="dxa" w:w="3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핵심은 「인력 못 줄여도 도입할 이유」</w:t>
            </w:r>
          </w:p>
        </w:tc>
      </w:tr>
      <w:tr>
        <w:tc>
          <w:tcPr>
            <w:tcW w:type="dxa" w:w="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6</w:t>
            </w:r>
          </w:p>
        </w:tc>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Q5 계약 구조</w:t>
            </w:r>
          </w:p>
        </w:tc>
        <w:tc>
          <w:tcPr>
            <w:tcW w:type="dxa" w:w="3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구매 / RaaS 구독 / 성과기반 순위</w:t>
            </w:r>
          </w:p>
        </w:tc>
        <w:tc>
          <w:tcPr>
            <w:tcW w:type="dxa" w:w="3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선호와 사내 통과 가능성을 분리 질문</w:t>
            </w:r>
          </w:p>
        </w:tc>
      </w:tr>
      <w:tr>
        <w:tc>
          <w:tcPr>
            <w:tcW w:type="dxa" w:w="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7</w:t>
            </w:r>
          </w:p>
        </w:tc>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Q7 Kano</w:t>
            </w:r>
          </w:p>
        </w:tc>
        <w:tc>
          <w:tcPr>
            <w:tcW w:type="dxa" w:w="3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있으면/없으면 이중 질문</w:t>
            </w:r>
          </w:p>
        </w:tc>
        <w:tc>
          <w:tcPr>
            <w:tcW w:type="dxa" w:w="3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필수·성능·매력·무관심·역품질 분류</w:t>
            </w:r>
          </w:p>
        </w:tc>
      </w:tr>
      <w:tr>
        <w:tc>
          <w:tcPr>
            <w:tcW w:type="dxa" w:w="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8</w:t>
            </w:r>
          </w:p>
        </w:tc>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Q8 역질문</w:t>
            </w:r>
          </w:p>
        </w:tc>
        <w:tc>
          <w:tcPr>
            <w:tcW w:type="dxa" w:w="3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설득 대상 / 첫 질문 / 소개 요청</w:t>
            </w:r>
          </w:p>
        </w:tc>
        <w:tc>
          <w:tcPr>
            <w:tcW w:type="dxa" w:w="3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다음 라운드 페르소나 세트 결정</w:t>
            </w:r>
          </w:p>
        </w:tc>
      </w:tr>
    </w:tbl>
    <w:p>
      <w:pPr>
        <w:sectPr>
          <w:pgSz w:w="11906" w:h="16838" w:orient="portrait"/>
          <w:pgMar w:top="1440" w:right="1440" w:bottom="1440" w:left="1440" w:header="708" w:footer="708" w:gutter="0"/>
          <w:pgNumType/>
          <w:docGrid w:linePitch="360"/>
        </w:sectPr>
      </w:pP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Ⅳ. 시뮬레이션 인터뷰 결과</w:t>
      </w:r>
    </w:p>
    <w:p>
      <w:pPr>
        <w:pStyle w:val="Heading2"/>
        <w:spacing w:after="140" w:before="320"/>
      </w:pPr>
      <w:r>
        <w:rPr>
          <w:rFonts w:ascii="맑은 고딕" w:cs="맑은 고딕" w:eastAsia="맑은 고딕" w:hAnsi="맑은 고딕"/>
          <w:b/>
          <w:bCs/>
          <w:color w:val="2E5C8A"/>
          <w:sz w:val="24"/>
          <w:szCs w:val="24"/>
        </w:rPr>
        <w:t xml:space="preserve">1. 예산 배분 종합 매트릭스</w:t>
      </w:r>
    </w:p>
    <w:p>
      <w:pPr>
        <w:spacing w:after="120" w:before="0" w:line="300"/>
      </w:pPr>
      <w:r>
        <w:rPr>
          <w:rFonts w:ascii="맑은 고딕" w:cs="맑은 고딕" w:eastAsia="맑은 고딕" w:hAnsi="맑은 고딕"/>
          <w:sz w:val="20"/>
          <w:szCs w:val="20"/>
        </w:rPr>
        <w:t xml:space="preserve">12개 페르소나가 각 100포인트를 배분한 결과입니다(합계 1,200). 거부권자 B1·B2는 예산 배분 문항을 적용하지 않았습니다.</w:t>
      </w:r>
    </w:p>
    <w:tbl>
      <w:tblPr>
        <w:tblW w:type="dxa" w:w="13958"/>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2100"/>
        <w:gridCol w:w="720"/>
        <w:gridCol w:w="720"/>
        <w:gridCol w:w="720"/>
        <w:gridCol w:w="720"/>
        <w:gridCol w:w="720"/>
        <w:gridCol w:w="720"/>
        <w:gridCol w:w="720"/>
        <w:gridCol w:w="720"/>
        <w:gridCol w:w="720"/>
        <w:gridCol w:w="760"/>
        <w:gridCol w:w="760"/>
        <w:gridCol w:w="760"/>
        <w:gridCol w:w="950"/>
        <w:gridCol w:w="1448"/>
      </w:tblGrid>
      <w:tr>
        <w:trPr>
          <w:tblHeader/>
        </w:trPr>
        <w:tc>
          <w:tcPr>
            <w:tcW w:type="dxa" w:w="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코드</w:t>
            </w:r>
          </w:p>
        </w:tc>
        <w:tc>
          <w:tcPr>
            <w:tcW w:type="dxa" w:w="21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서비스</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P1</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P2</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P3</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P4</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P5</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P6</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P7</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P8</w:t>
            </w:r>
          </w:p>
        </w:tc>
        <w:tc>
          <w:tcPr>
            <w:tcW w:type="dxa" w:w="72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P9</w:t>
            </w:r>
          </w:p>
        </w:tc>
        <w:tc>
          <w:tcPr>
            <w:tcW w:type="dxa" w:w="76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P10</w:t>
            </w:r>
          </w:p>
        </w:tc>
        <w:tc>
          <w:tcPr>
            <w:tcW w:type="dxa" w:w="76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P11</w:t>
            </w:r>
          </w:p>
        </w:tc>
        <w:tc>
          <w:tcPr>
            <w:tcW w:type="dxa" w:w="76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P12</w:t>
            </w:r>
          </w:p>
        </w:tc>
        <w:tc>
          <w:tcPr>
            <w:tcW w:type="dxa" w:w="95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합계</w:t>
            </w:r>
          </w:p>
        </w:tc>
        <w:tc>
          <w:tcPr>
            <w:tcW w:type="dxa" w:w="1448"/>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1순위</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S4</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설비 점검</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205</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S1</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순찰·보안</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185</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S10</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방재·조기감지</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170</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S9</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안전 감시</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35</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55</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155</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S6</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이송 AMR</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45</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140</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S2</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바닥 청소</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105</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S11</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DC 랙 점검</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80</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S8</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재고 실사</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55</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S7</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피킹</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15</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25</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40</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0</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S3</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외벽 청소</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35</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35</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w:t>
            </w:r>
          </w:p>
        </w:tc>
      </w:tr>
      <w:tr>
        <w:tc>
          <w:tcPr>
            <w:tcW w:type="dxa" w:w="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S12</w:t>
            </w:r>
          </w:p>
        </w:tc>
        <w:tc>
          <w:tcPr>
            <w:tcW w:type="dxa" w:w="21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컨시어지</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20</w:t>
            </w:r>
          </w:p>
        </w:tc>
        <w:tc>
          <w:tcPr>
            <w:tcW w:type="dxa" w:w="1448"/>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0</w:t>
            </w:r>
          </w:p>
        </w:tc>
      </w:tr>
      <w:tr>
        <w:tc>
          <w:tcPr>
            <w:tcW w:type="dxa" w:w="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S5</w:t>
            </w:r>
          </w:p>
        </w:tc>
        <w:tc>
          <w:tcPr>
            <w:tcW w:type="dxa" w:w="21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실내 배송</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2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76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w:t>
            </w:r>
          </w:p>
        </w:tc>
        <w:tc>
          <w:tcPr>
            <w:tcW w:type="dxa" w:w="95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10</w:t>
            </w:r>
          </w:p>
        </w:tc>
        <w:tc>
          <w:tcPr>
            <w:tcW w:type="dxa" w:w="1448"/>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6"/>
                <w:szCs w:val="16"/>
              </w:rPr>
              <w:t xml:space="preserve">0</w:t>
            </w:r>
          </w:p>
        </w:tc>
      </w:tr>
    </w:tbl>
    <w:p>
      <w:pPr>
        <w:spacing w:after="120" w:before="120" w:line="300"/>
      </w:pPr>
      <w:r>
        <w:rPr>
          <w:rFonts w:ascii="맑은 고딕" w:cs="맑은 고딕" w:eastAsia="맑은 고딕" w:hAnsi="맑은 고딕"/>
          <w:color w:val="595959"/>
          <w:sz w:val="20"/>
          <w:szCs w:val="20"/>
        </w:rPr>
        <w:t xml:space="preserve">「1순위」 = 해당 서비스를 MaxDiff에서 「가장 먼저 도입」으로 지목한 페르소나 수. 「·」 = 0점.</w:t>
      </w:r>
    </w:p>
    <w:p>
      <w:pPr>
        <w:pStyle w:val="Heading2"/>
        <w:spacing w:after="140" w:before="320"/>
      </w:pPr>
      <w:r>
        <w:rPr>
          <w:rFonts w:ascii="맑은 고딕" w:cs="맑은 고딕" w:eastAsia="맑은 고딕" w:hAnsi="맑은 고딕"/>
          <w:b/>
          <w:bCs/>
          <w:color w:val="2E5C8A"/>
          <w:sz w:val="24"/>
          <w:szCs w:val="24"/>
        </w:rPr>
        <w:t xml:space="preserve">2. 이 표에서 읽어야 할 것 — 총점이 아니라 분포 형태</w:t>
      </w:r>
    </w:p>
    <w:tbl>
      <w:tblPr>
        <w:tblW w:type="dxa" w:w="13958"/>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2800"/>
        <w:gridCol w:w="4500"/>
        <w:gridCol w:w="5258"/>
      </w:tblGrid>
      <w:tr>
        <w:trPr>
          <w:tblHeader/>
        </w:trPr>
        <w:tc>
          <w:tcPr>
            <w:tcW w:type="dxa" w:w="1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패턴</w:t>
            </w:r>
          </w:p>
        </w:tc>
        <w:tc>
          <w:tcPr>
            <w:tcW w:type="dxa" w:w="2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해당 서비스</w:t>
            </w:r>
          </w:p>
        </w:tc>
        <w:tc>
          <w:tcPr>
            <w:tcW w:type="dxa" w:w="4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해석</w:t>
            </w:r>
          </w:p>
        </w:tc>
        <w:tc>
          <w:tcPr>
            <w:tcW w:type="dxa" w:w="5258"/>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전략적 함의</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넓고 얕음</w:t>
            </w:r>
          </w:p>
        </w:tc>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S4 설비 점검 (총점 1위)</w:t>
            </w:r>
          </w:p>
        </w:tc>
        <w:tc>
          <w:tcPr>
            <w:tcW w:type="dxa" w:w="4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12명 중 9명이 배분했으나 1순위는 1명뿐. 판단 보류 사유가 세그먼트마다 동일하게 발생</w:t>
            </w:r>
          </w:p>
        </w:tc>
        <w:tc>
          <w:tcPr>
            <w:tcW w:type="dxa" w:w="5258"/>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진입 제품으로 부적합. 총점만 보고 주력으로 잡으면 전 세그먼트에서 「판단 보류」에 걸림</w:t>
            </w:r>
          </w:p>
        </w:tc>
      </w:tr>
      <w:tr>
        <w:tc>
          <w:tcPr>
            <w:tcW w:type="dxa" w:w="1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좁고 깊음</w:t>
            </w:r>
          </w:p>
        </w:tc>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S9 안전 감시</w:t>
            </w:r>
          </w:p>
        </w:tc>
        <w:tc>
          <w:tcPr>
            <w:tcW w:type="dxa" w:w="4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5명만 배분했으나 P11이 55, P10이 35. 유일하게 회수기간 심사를 받지 않는 예산에서 집행</w:t>
            </w:r>
          </w:p>
        </w:tc>
        <w:tc>
          <w:tcPr>
            <w:tcW w:type="dxa" w:w="5258"/>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시장 크기가 아니라 결재 난이도로 보면 최우선 진입 항목</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1순위 0건</w:t>
            </w:r>
          </w:p>
        </w:tc>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S7 피킹, S12 컨시어지, S5 배송</w:t>
            </w:r>
          </w:p>
        </w:tc>
        <w:tc>
          <w:tcPr>
            <w:tcW w:type="dxa" w:w="4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S12는 4명이 명시적으로 「절대 도입 안 함」 지목</w:t>
            </w:r>
          </w:p>
        </w:tc>
        <w:tc>
          <w:tcPr>
            <w:tcW w:type="dxa" w:w="5258"/>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S12는 가장 확실한 비수요. 제품 로드맵에서 제외</w:t>
            </w:r>
          </w:p>
        </w:tc>
      </w:tr>
      <w:tr>
        <w:tc>
          <w:tcPr>
            <w:tcW w:type="dxa" w:w="1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세그먼트 전용</w:t>
            </w:r>
          </w:p>
        </w:tc>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S3 외벽(35), S11 DC(80), S8 재고(55)</w:t>
            </w:r>
          </w:p>
        </w:tc>
        <w:tc>
          <w:tcPr>
            <w:tcW w:type="dxa" w:w="4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총점은 낮으나 지목한 사람이 곧 예산 집행자</w:t>
            </w:r>
          </w:p>
        </w:tc>
        <w:tc>
          <w:tcPr>
            <w:tcW w:type="dxa" w:w="5258"/>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총점이 낮다고 버리면 안 됨. 성사 확률은 오히려 높음</w:t>
            </w:r>
          </w:p>
        </w:tc>
      </w:tr>
    </w:tbl>
    <w:p>
      <w:pPr>
        <w:sectPr>
          <w:pgSz w:w="16838" w:h="11906" w:orient="landscape"/>
          <w:pgMar w:top="1440" w:right="1440" w:bottom="1440" w:left="1440" w:header="708" w:footer="708" w:gutter="0"/>
          <w:pgNumType/>
          <w:docGrid w:linePitch="360"/>
        </w:sectPr>
      </w:pPr>
    </w:p>
    <w:p>
      <w:pPr>
        <w:pStyle w:val="Heading2"/>
        <w:spacing w:after="140" w:before="320"/>
      </w:pPr>
      <w:r>
        <w:rPr>
          <w:rFonts w:ascii="맑은 고딕" w:cs="맑은 고딕" w:eastAsia="맑은 고딕" w:hAnsi="맑은 고딕"/>
          <w:b/>
          <w:bCs/>
          <w:color w:val="2E5C8A"/>
          <w:sz w:val="24"/>
          <w:szCs w:val="24"/>
        </w:rPr>
        <w:t xml:space="preserve">3. 세그먼트별 결과</w:t>
      </w:r>
    </w:p>
    <w:p>
      <w:pPr>
        <w:pStyle w:val="Heading3"/>
        <w:spacing w:after="100" w:before="240"/>
      </w:pPr>
      <w:r>
        <w:rPr>
          <w:rFonts w:ascii="맑은 고딕" w:cs="맑은 고딕" w:eastAsia="맑은 고딕" w:hAnsi="맑은 고딕"/>
          <w:b/>
          <w:bCs/>
          <w:color w:val="000000"/>
          <w:sz w:val="21"/>
          <w:szCs w:val="21"/>
        </w:rPr>
        <w:t xml:space="preserve">오피스 (P1 소유 / P2 FM사 / P3 소장)</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2400"/>
        <w:gridCol w:w="2500"/>
        <w:gridCol w:w="24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P1 소유측</w:t>
            </w:r>
          </w:p>
        </w:tc>
        <w:tc>
          <w:tcPr>
            <w:tcW w:type="dxa" w:w="2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P2 FM 본부장</w:t>
            </w:r>
          </w:p>
        </w:tc>
        <w:tc>
          <w:tcPr>
            <w:tcW w:type="dxa" w:w="24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P3 소장</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최우선 서비스</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S3 외벽청소 (35)</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 순찰·보안 (40)</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S2 청소 (35)</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절대 거부</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 컨시어지 — 자산 격 하락</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S3 외벽 — 계약 범위 밖</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S5 배송 — 엘리베이터 점유</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지출 중</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외벽 용역비 +30% 🔸</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도급 웃돈 +월 20만/인 🔸</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없음 (체크리스트만 추가)</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절감 외 도입 이유</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사고 책임 리스크</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입찰 수주 경쟁력</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야간 커버리지 확대</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계약구조 1순위</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 구독</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 구독 (12개월 이하)</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 구독</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최종 승인자</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투자심의위</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대표이사</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본사 운영본부 + 소유주</w:t>
            </w:r>
          </w:p>
        </w:tc>
      </w:tr>
    </w:tbl>
    <w:p>
      <w:pPr>
        <w:spacing w:after="120" w:before="0" w:line="300"/>
      </w:pPr>
      <w:r>
        <w:rPr>
          <w:rFonts w:ascii="맑은 고딕" w:cs="맑은 고딕" w:eastAsia="맑은 고딕" w:hAnsi="맑은 고딕"/>
          <w:b/>
          <w:bCs/>
          <w:sz w:val="20"/>
          <w:szCs w:val="20"/>
        </w:rPr>
        <w:t xml:space="preserve">핵심 관찰 — </w:t>
      </w:r>
      <w:r>
        <w:rPr>
          <w:rFonts w:ascii="맑은 고딕" w:cs="맑은 고딕" w:eastAsia="맑은 고딕" w:hAnsi="맑은 고딕"/>
          <w:sz w:val="20"/>
          <w:szCs w:val="20"/>
        </w:rPr>
        <w:t xml:space="preserve">세 명 모두 구독(B) 1순위이며 구매(A)는 전원 하위입니다. P1은 S3를 최고점, P2는 S3를 절대 거부로 지목했는데, 같은 건물·같은 서비스에 대한 정반대 답입니다. 니즈가 아니라 </w:t>
      </w:r>
      <w:r>
        <w:rPr>
          <w:rFonts w:ascii="맑은 고딕" w:cs="맑은 고딕" w:eastAsia="맑은 고딕" w:hAnsi="맑은 고딕"/>
          <w:b/>
          <w:bCs/>
          <w:sz w:val="20"/>
          <w:szCs w:val="20"/>
        </w:rPr>
        <w:t xml:space="preserve">계약 범위</w:t>
      </w:r>
      <w:r>
        <w:rPr>
          <w:rFonts w:ascii="맑은 고딕" w:cs="맑은 고딕" w:eastAsia="맑은 고딕" w:hAnsi="맑은 고딕"/>
          <w:sz w:val="20"/>
          <w:szCs w:val="20"/>
        </w:rPr>
        <w:t xml:space="preserve">가 지불 주체를 결정합니다. 그리고 소유주가 직접 예산을 집행하는 유일한 항목이 S3(외벽·고소작업)로, 지불 주체 데드락을 우회하는 통로입니다.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P2: "경쟁 FM사가 로봇을 제안하는데 저희만 사람만 넣으면 수주를 놓칩니다. 그건 인건비 계산과 무관해요."</w:t>
      </w:r>
    </w:p>
    <w:p>
      <w:pPr>
        <w:pStyle w:val="Heading3"/>
        <w:spacing w:after="100" w:before="240"/>
      </w:pPr>
      <w:r>
        <w:rPr>
          <w:rFonts w:ascii="맑은 고딕" w:cs="맑은 고딕" w:eastAsia="맑은 고딕" w:hAnsi="맑은 고딕"/>
          <w:b/>
          <w:bCs/>
          <w:color w:val="000000"/>
          <w:sz w:val="21"/>
          <w:szCs w:val="21"/>
        </w:rPr>
        <w:t xml:space="preserve">물류센터 (P4 소유 / P5 3PL / P6 화주)</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2400"/>
        <w:gridCol w:w="2500"/>
        <w:gridCol w:w="24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P4 소유측</w:t>
            </w:r>
          </w:p>
        </w:tc>
        <w:tc>
          <w:tcPr>
            <w:tcW w:type="dxa" w:w="2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P5 3PL 센터장</w:t>
            </w:r>
          </w:p>
        </w:tc>
        <w:tc>
          <w:tcPr>
            <w:tcW w:type="dxa" w:w="24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P6 화주 SCM</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최우선 서비스</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 / S10 (각 40)</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S6 이송 AMR (40)</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S8 재고실사 (30)</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절대 거부</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S7 피킹 — 임차인 종속</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S7 피킹 — SKU 변동</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 컨시어지</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지출 중</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건물 스펙 상향 공사비</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피크 인력 단가 +15% 🔸</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재고조사 주기 3배 확대</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절감 외 도입 이유</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보험료·임대경쟁력</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산재·출고지연 페널티</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결품 감소 → 매출</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계약구조 1순위</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 (자산계상)</w:t>
            </w:r>
          </w:p>
        </w:tc>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 구독 (월 단위 증감차)</w:t>
            </w:r>
          </w:p>
        </w:tc>
        <w:tc>
          <w:tcPr>
            <w:tcW w:type="dxa" w:w="24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C 성과 (정확도 정산)</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최종 승인자</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개발본부장</w:t>
            </w:r>
          </w:p>
        </w:tc>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화주 임원</w:t>
            </w:r>
          </w:p>
        </w:tc>
        <w:tc>
          <w:tcPr>
            <w:tcW w:type="dxa" w:w="24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CFO</w:t>
            </w:r>
          </w:p>
        </w:tc>
      </w:tr>
    </w:tbl>
    <w:p>
      <w:pPr>
        <w:spacing w:after="120" w:before="0" w:line="300"/>
      </w:pPr>
      <w:r>
        <w:rPr>
          <w:rFonts w:ascii="맑은 고딕" w:cs="맑은 고딕" w:eastAsia="맑은 고딕" w:hAnsi="맑은 고딕"/>
          <w:b/>
          <w:bCs/>
          <w:sz w:val="20"/>
          <w:szCs w:val="20"/>
        </w:rPr>
        <w:t xml:space="preserve">핵심 관찰 — </w:t>
      </w:r>
      <w:r>
        <w:rPr>
          <w:rFonts w:ascii="맑은 고딕" w:cs="맑은 고딕" w:eastAsia="맑은 고딕" w:hAnsi="맑은 고딕"/>
          <w:sz w:val="20"/>
          <w:szCs w:val="20"/>
        </w:rPr>
        <w:t xml:space="preserve">세 명의 계약구조 1순위가 전부 다릅니다(A/B/C). 오피스가 전원 B로 수렴한 것과 대조적입니다. P5와 P6은 </w:t>
      </w:r>
      <w:r>
        <w:rPr>
          <w:rFonts w:ascii="맑은 고딕" w:cs="맑은 고딕" w:eastAsia="맑은 고딕" w:hAnsi="맑은 고딕"/>
          <w:b/>
          <w:bCs/>
          <w:sz w:val="20"/>
          <w:szCs w:val="20"/>
        </w:rPr>
        <w:t xml:space="preserve">서로를 최종 승인자로 지목</w:t>
      </w:r>
      <w:r>
        <w:rPr>
          <w:rFonts w:ascii="맑은 고딕" w:cs="맑은 고딕" w:eastAsia="맑은 고딕" w:hAnsi="맑은 고딕"/>
          <w:sz w:val="20"/>
          <w:szCs w:val="20"/>
        </w:rPr>
        <w:t xml:space="preserve">했는데, 3PL과 화주 사이에 비용 부담 주체 공백이 존재한다는 뜻입니다. 그리고 P4에게는 로봇이 아니라 「로봇 레디 건물 스펙」을 팔아야 합니다 — 이미 그 명목으로 공사비를 집행한 이력이 있습니다.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P5: "물동량이 계절마다 3배씩 뜁니다. 피크에 맞추면 비수기에 놀고, 비수기에 맞추면 피크에 못 씁니다." (피크 기간에는 상시 단가의 2~3배 지불 의사)</w:t>
      </w:r>
    </w:p>
    <w:p>
      <w:pPr>
        <w:pStyle w:val="Heading3"/>
        <w:spacing w:after="100" w:before="240"/>
      </w:pPr>
      <w:r>
        <w:rPr>
          <w:rFonts w:ascii="맑은 고딕" w:cs="맑은 고딕" w:eastAsia="맑은 고딕" w:hAnsi="맑은 고딕"/>
          <w:b/>
          <w:bCs/>
          <w:color w:val="000000"/>
          <w:sz w:val="21"/>
          <w:szCs w:val="21"/>
        </w:rPr>
        <w:t xml:space="preserve">데이터센터 (P7 운영총괄 / P8 현장 / P9 보안)</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2400"/>
        <w:gridCol w:w="2400"/>
        <w:gridCol w:w="25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P7 운영 총괄</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P8 현장 팀장</w:t>
            </w:r>
          </w:p>
        </w:tc>
        <w:tc>
          <w:tcPr>
            <w:tcW w:type="dxa" w:w="25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P9 보안 (거부권자)</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최우선 서비스</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S11 랙점검 (40)</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S4 설비점검 (40)</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S10 방재 (40)</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절대 거부</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S2 청소 — 분진·정전기</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 컨시어지</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클라우드 연동 아키텍처 전체</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지출 중</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실사 잔업수당</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당직 잔업</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CCTV 증설</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절감 외 도입 이유</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고객 신뢰·인적 장애 위험</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점검 증빙 자동 생성</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출입 인원 감소 = 보안 향상</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계약구조 1순위</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 (네트워크 격리)</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 구독 (유지보수)</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 (필수)</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최종 승인자</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보안 총괄</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보안팀장</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고객사 보안 담당</w:t>
            </w:r>
          </w:p>
        </w:tc>
      </w:tr>
    </w:tbl>
    <w:p>
      <w:pPr>
        <w:spacing w:after="120" w:before="0" w:line="300"/>
      </w:pPr>
      <w:r>
        <w:rPr>
          <w:rFonts w:ascii="맑은 고딕" w:cs="맑은 고딕" w:eastAsia="맑은 고딕" w:hAnsi="맑은 고딕"/>
          <w:b/>
          <w:bCs/>
          <w:sz w:val="20"/>
          <w:szCs w:val="20"/>
        </w:rPr>
        <w:t xml:space="preserve">핵심 관찰 — </w:t>
      </w:r>
      <w:r>
        <w:rPr>
          <w:rFonts w:ascii="맑은 고딕" w:cs="맑은 고딕" w:eastAsia="맑은 고딕" w:hAnsi="맑은 고딕"/>
          <w:sz w:val="20"/>
          <w:szCs w:val="20"/>
        </w:rPr>
        <w:t xml:space="preserve">세 명 모두 최종 승인자로 보안 라인을 지목했습니다. </w:t>
      </w:r>
      <w:r>
        <w:rPr>
          <w:rFonts w:ascii="맑은 고딕" w:cs="맑은 고딕" w:eastAsia="맑은 고딕" w:hAnsi="맑은 고딕"/>
          <w:b/>
          <w:bCs/>
          <w:sz w:val="20"/>
          <w:szCs w:val="20"/>
        </w:rPr>
        <w:t xml:space="preserve">원격 관제가 역품질(있으면 감점)로 판정</w:t>
      </w:r>
      <w:r>
        <w:rPr>
          <w:rFonts w:ascii="맑은 고딕" w:cs="맑은 고딕" w:eastAsia="맑은 고딕" w:hAnsi="맑은 고딕"/>
          <w:sz w:val="20"/>
          <w:szCs w:val="20"/>
        </w:rPr>
        <w:t xml:space="preserve">된 유일한 세그먼트이며, 폐쇄망 운영 모드가 제품 옵션에 필요합니다. 최대 반론은 「고정 센서가 이미 있는데 로봇이 왜 필요한가」이고, 답은 점 측정 대 면 측정 및 위치 특정입니다. 실증 데이터가 필요합니다.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P9: "이 다섯 개는 거절 사유가 아니라 요구사항 목록으로 읽으셔도 됩니다. 다 만족하면 저는 반대할 이유가 없습니다."</w:t>
      </w:r>
    </w:p>
    <w:p>
      <w:pPr>
        <w:pStyle w:val="Heading3"/>
        <w:spacing w:after="100" w:before="240"/>
      </w:pPr>
      <w:r>
        <w:rPr>
          <w:rFonts w:ascii="맑은 고딕" w:cs="맑은 고딕" w:eastAsia="맑은 고딕" w:hAnsi="맑은 고딕"/>
          <w:b/>
          <w:bCs/>
          <w:color w:val="000000"/>
          <w:sz w:val="21"/>
          <w:szCs w:val="21"/>
        </w:rPr>
        <w:t xml:space="preserve">제조공장 (P10 공장장 / P11 EHS / P12 ROI 게이트)</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2300"/>
        <w:gridCol w:w="2400"/>
        <w:gridCol w:w="26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2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P10 공장장</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P11 EHS 팀장</w:t>
            </w:r>
          </w:p>
        </w:tc>
        <w:tc>
          <w:tcPr>
            <w:tcW w:type="dxa" w:w="26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P12 ROI 게이트</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최우선 서비스</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S9 안전 (35)</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S9 안전 (55)</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S6 이송 (45)</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절대 거부</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 — 노무 관계 악화</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S5 배송 — 통로 장애</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S12 — 편익 0</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지출 중</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야간 수당 인상</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CCTV 증설</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자동화 제안 부결시킴</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절감 외 도입 이유</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형사 책임 회피</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사고 1건의 비용</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산재·잔업·결원 미충원</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회수기간 요구</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안전 예산은 무관</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심사 자체를 안 받음</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2년</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계약구조 1순위</w:t>
            </w:r>
          </w:p>
        </w:tc>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w:t>
            </w:r>
          </w:p>
        </w:tc>
        <w:tc>
          <w:tcPr>
            <w:tcW w:type="dxa" w:w="2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 구매 (단, B가 통과 쉬움)</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최종 승인자</w:t>
            </w:r>
          </w:p>
        </w:tc>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노사협의회</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노사협의회 + 법무</w:t>
            </w:r>
          </w:p>
        </w:tc>
        <w:tc>
          <w:tcPr>
            <w:tcW w:type="dxa" w:w="2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본인</w:t>
            </w:r>
          </w:p>
        </w:tc>
      </w:tr>
    </w:tbl>
    <w:p>
      <w:pPr>
        <w:spacing w:after="120" w:before="0" w:line="300"/>
      </w:pPr>
      <w:r>
        <w:rPr>
          <w:rFonts w:ascii="맑은 고딕" w:cs="맑은 고딕" w:eastAsia="맑은 고딕" w:hAnsi="맑은 고딕"/>
          <w:b/>
          <w:bCs/>
          <w:sz w:val="20"/>
          <w:szCs w:val="20"/>
        </w:rPr>
        <w:t xml:space="preserve">핵심 관찰 — </w:t>
      </w:r>
      <w:r>
        <w:rPr>
          <w:rFonts w:ascii="맑은 고딕" w:cs="맑은 고딕" w:eastAsia="맑은 고딕" w:hAnsi="맑은 고딕"/>
          <w:sz w:val="20"/>
          <w:szCs w:val="20"/>
        </w:rPr>
        <w:t xml:space="preserve">세 명 모두 구매(A) 1순위로 오피스와 정반대입니다. 그리고 </w:t>
      </w:r>
      <w:r>
        <w:rPr>
          <w:rFonts w:ascii="맑은 고딕" w:cs="맑은 고딕" w:eastAsia="맑은 고딕" w:hAnsi="맑은 고딕"/>
          <w:b/>
          <w:bCs/>
          <w:sz w:val="20"/>
          <w:szCs w:val="20"/>
        </w:rPr>
        <w:t xml:space="preserve">예산 경로가 도입 성사를 결정</w:t>
      </w:r>
      <w:r>
        <w:rPr>
          <w:rFonts w:ascii="맑은 고딕" w:cs="맑은 고딕" w:eastAsia="맑은 고딕" w:hAnsi="맑은 고딕"/>
          <w:sz w:val="20"/>
          <w:szCs w:val="20"/>
        </w:rPr>
        <w:t xml:space="preserve">한다는 점을 세 명이 독립적으로 확인했습니다. 노사협의회가 두 명의 최종 승인자로 지목되어, 기술·재무보다 노무 이슈가 앞섭니다. 개인 식별 없이 상태만 감지하는 설계(P11 제안)가 이를 우회합니다.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P12: "5명 대체라는데 그 5명이 물류만 하는 게 아닙니다. 로봇이 물류를 다 해도 그 사람들은 남습니다. 그럼 절감액이 0이에요." / "다만 퇴직자 자리를 안 채우는 건 가능합니다. 그건 절감으로 계산해줄 수 있습니다."</w:t>
      </w:r>
    </w:p>
    <w:p>
      <w:pPr>
        <w:pStyle w:val="Heading3"/>
        <w:spacing w:after="100" w:before="240"/>
      </w:pPr>
      <w:r>
        <w:rPr>
          <w:rFonts w:ascii="맑은 고딕" w:cs="맑은 고딕" w:eastAsia="맑은 고딕" w:hAnsi="맑은 고딕"/>
          <w:b/>
          <w:bCs/>
          <w:color w:val="000000"/>
          <w:sz w:val="21"/>
          <w:szCs w:val="21"/>
        </w:rPr>
        <w:t xml:space="preserve">거부권자 (B1 도급사 / B2 구매 심사역)</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500"/>
        <w:gridCol w:w="3526"/>
      </w:tblGrid>
      <w:tr>
        <w:trPr>
          <w:tblHeader/>
        </w:trPr>
        <w:tc>
          <w:tcPr>
            <w:tcW w:type="dxa" w:w="2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3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B1 도급사 대표</w:t>
            </w:r>
          </w:p>
        </w:tc>
        <w:tc>
          <w:tcPr>
            <w:tcW w:type="dxa" w:w="35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B2 구매 심사역</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1순위 저지 논리</w:t>
            </w:r>
          </w:p>
        </w:tc>
        <w:tc>
          <w:tcPr>
            <w:tcW w:type="dxa" w:w="3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경비업법상 인원 감축 제약</w:t>
            </w:r>
          </w:p>
        </w:tc>
        <w:tc>
          <w:tcPr>
            <w:tcW w:type="dxa" w:w="3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공급사 존속 리스크</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구조적 취약점 지적</w:t>
            </w:r>
          </w:p>
        </w:tc>
        <w:tc>
          <w:tcPr>
            <w:tcW w:type="dxa" w:w="3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순찰은 업무의 30%, 나머지 70%는 사람 몫</w:t>
            </w:r>
          </w:p>
        </w:tc>
        <w:tc>
          <w:tcPr>
            <w:tcW w:type="dxa" w:w="3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겸직 구조·TCO 산정 불가</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본인이 제시한 우회 경로</w:t>
            </w:r>
          </w:p>
        </w:tc>
        <w:tc>
          <w:tcPr>
            <w:tcW w:type="dxa" w:w="3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도급사가 로봇을 임차해 입찰 단가 인하</w:t>
            </w:r>
          </w:p>
        </w:tc>
        <w:tc>
          <w:tcPr>
            <w:tcW w:type="dxa" w:w="3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CAPEX → 실질적 서비스 계약으로 전환</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우회 조건</w:t>
            </w:r>
          </w:p>
        </w:tc>
        <w:tc>
          <w:tcPr>
            <w:tcW w:type="dxa" w:w="3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월 임대 · 고령 인력도 운용 가능할 것</w:t>
            </w:r>
          </w:p>
        </w:tc>
        <w:tc>
          <w:tcPr>
            <w:tcW w:type="dxa" w:w="3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진짜 서비스일 것 · 사내 심사 한도 이내</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전환 가능성</w:t>
            </w:r>
          </w:p>
        </w:tc>
        <w:tc>
          <w:tcPr>
            <w:tcW w:type="dxa" w:w="3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적 → 채널로 전환 가능</w:t>
            </w:r>
          </w:p>
        </w:tc>
        <w:tc>
          <w:tcPr>
            <w:tcW w:type="dxa" w:w="3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게이트 자체를 우회 가능</w:t>
            </w:r>
          </w:p>
        </w:tc>
      </w:tr>
    </w:tbl>
    <w:p>
      <w:pPr>
        <w:spacing w:after="120" w:before="0" w:line="300"/>
      </w:pPr>
      <w:r>
        <w:rPr>
          <w:rFonts w:ascii="맑은 고딕" w:cs="맑은 고딕" w:eastAsia="맑은 고딕" w:hAnsi="맑은 고딕"/>
          <w:b/>
          <w:bCs/>
          <w:sz w:val="20"/>
          <w:szCs w:val="20"/>
        </w:rPr>
        <w:t xml:space="preserve">핵심 관찰 — </w:t>
      </w:r>
      <w:r>
        <w:rPr>
          <w:rFonts w:ascii="맑은 고딕" w:cs="맑은 고딕" w:eastAsia="맑은 고딕" w:hAnsi="맑은 고딕"/>
          <w:sz w:val="20"/>
          <w:szCs w:val="20"/>
        </w:rPr>
        <w:t xml:space="preserve">두 거부권자 모두 우회 경로를 스스로 제시했습니다. 저지 사유는 거절이 아니라 </w:t>
      </w:r>
      <w:r>
        <w:rPr>
          <w:rFonts w:ascii="맑은 고딕" w:cs="맑은 고딕" w:eastAsia="맑은 고딕" w:hAnsi="맑은 고딕"/>
          <w:b/>
          <w:bCs/>
          <w:sz w:val="20"/>
          <w:szCs w:val="20"/>
        </w:rPr>
        <w:t xml:space="preserve">요구사항 명세</w:t>
      </w:r>
      <w:r>
        <w:rPr>
          <w:rFonts w:ascii="맑은 고딕" w:cs="맑은 고딕" w:eastAsia="맑은 고딕" w:hAnsi="맑은 고딕"/>
          <w:sz w:val="20"/>
          <w:szCs w:val="20"/>
        </w:rPr>
        <w:t xml:space="preserve">로 읽어야 합니다. 그리고 인력 공급망 전체(FM사 P2, 도급사 B1)가 「로봇으로 입찰 경쟁력 확보」라는 동일 동기를 공유합니다. 최종 사용자 직판보다 </w:t>
      </w:r>
      <w:r>
        <w:rPr>
          <w:rFonts w:ascii="맑은 고딕" w:cs="맑은 고딕" w:eastAsia="맑은 고딕" w:hAnsi="맑은 고딕"/>
          <w:b/>
          <w:bCs/>
          <w:sz w:val="20"/>
          <w:szCs w:val="20"/>
        </w:rPr>
        <w:t xml:space="preserve">FM사·SI 경유 간접 채널</w:t>
      </w:r>
      <w:r>
        <w:rPr>
          <w:rFonts w:ascii="맑은 고딕" w:cs="맑은 고딕" w:eastAsia="맑은 고딕" w:hAnsi="맑은 고딕"/>
          <w:sz w:val="20"/>
          <w:szCs w:val="20"/>
        </w:rPr>
        <w:t xml:space="preserve">이 구매 게이트 통과에 유리할 수 있습니다.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Ⅴ. 구조적 발견 5가지</w:t>
      </w:r>
    </w:p>
    <w:p>
      <w:pPr>
        <w:pStyle w:val="Heading2"/>
        <w:spacing w:after="140" w:before="320"/>
      </w:pPr>
      <w:r>
        <w:rPr>
          <w:rFonts w:ascii="맑은 고딕" w:cs="맑은 고딕" w:eastAsia="맑은 고딕" w:hAnsi="맑은 고딕"/>
          <w:b/>
          <w:bCs/>
          <w:color w:val="2E5C8A"/>
          <w:sz w:val="24"/>
          <w:szCs w:val="24"/>
        </w:rPr>
        <w:t xml:space="preserve">발견 1 — 니즈보다 예산 경로가 도입을 결정한다</w:t>
      </w:r>
    </w:p>
    <w:p>
      <w:pPr>
        <w:spacing w:after="120" w:before="0" w:line="300"/>
      </w:pPr>
      <w:r>
        <w:rPr>
          <w:rFonts w:ascii="맑은 고딕" w:cs="맑은 고딕" w:eastAsia="맑은 고딕" w:hAnsi="맑은 고딕"/>
          <w:sz w:val="20"/>
          <w:szCs w:val="20"/>
        </w:rPr>
        <w:t xml:space="preserve">같은 로봇이라도 어느 예산에서 나가느냐에 따라 심사 기준이 완전히 달라집니다.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200"/>
        <w:gridCol w:w="1900"/>
        <w:gridCol w:w="1926"/>
      </w:tblGrid>
      <w:tr>
        <w:trPr>
          <w:tblHeader/>
        </w:trPr>
        <w:tc>
          <w:tcPr>
            <w:tcW w:type="dxa" w:w="2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예산 경로</w:t>
            </w:r>
          </w:p>
        </w:tc>
        <w:tc>
          <w:tcPr>
            <w:tcW w:type="dxa" w:w="3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회수기간 요구</w:t>
            </w:r>
          </w:p>
        </w:tc>
        <w:tc>
          <w:tcPr>
            <w:tcW w:type="dxa" w:w="19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심사 강도</w:t>
            </w:r>
          </w:p>
        </w:tc>
        <w:tc>
          <w:tcPr>
            <w:tcW w:type="dxa" w:w="19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해당 페르소나</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안전보건 예산</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없음 — 법적 요구 충족 여부로 판단</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낮음</w:t>
            </w:r>
          </w:p>
        </w:tc>
        <w:tc>
          <w:tcPr>
            <w:tcW w:type="dxa" w:w="1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P11, P10</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보안 예산</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없음 — 승인 조건 충족 여부</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조건 충족 시 낮음</w:t>
            </w:r>
          </w:p>
        </w:tc>
        <w:tc>
          <w:tcPr>
            <w:tcW w:type="dxa" w:w="1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P9</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시설 운영비 (OPEX)</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계약 잔여기간</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중간</w:t>
            </w:r>
          </w:p>
        </w:tc>
        <w:tc>
          <w:tcPr>
            <w:tcW w:type="dxa" w:w="1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P2, P3, P7, P8</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자산 유지관리비</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보유기간 잔여 연수</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중간</w:t>
            </w:r>
          </w:p>
        </w:tc>
        <w:tc>
          <w:tcPr>
            <w:tcW w:type="dxa" w:w="19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P1, P4</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설비투자 예산 (CAPEX)</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2년</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높음</w:t>
            </w:r>
          </w:p>
        </w:tc>
        <w:tc>
          <w:tcPr>
            <w:tcW w:type="dxa" w:w="19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P12, B2</w:t>
            </w:r>
          </w:p>
        </w:tc>
      </w:tr>
    </w:tbl>
    <w:p>
      <w:pPr>
        <w:spacing w:after="120" w:before="0" w:line="300"/>
      </w:pPr>
      <w:r>
        <w:rPr>
          <w:rFonts w:ascii="맑은 고딕" w:cs="맑은 고딕" w:eastAsia="맑은 고딕" w:hAnsi="맑은 고딕"/>
          <w:sz w:val="20"/>
          <w:szCs w:val="20"/>
        </w:rPr>
        <w:t xml:space="preserve">P10·P11·P12 세 명이 독립적으로 「S9는 설비 심의를 타지 말고 안전 예산으로 가라」고 말했습니다. ROI 게이트키퍼인 P12 본인이 그렇게 말했다는 점이 결정적입니다. 제안서를 </w:t>
      </w:r>
      <w:r>
        <w:rPr>
          <w:rFonts w:ascii="맑은 고딕" w:cs="맑은 고딕" w:eastAsia="맑은 고딕" w:hAnsi="맑은 고딕"/>
          <w:b/>
          <w:bCs/>
          <w:sz w:val="20"/>
          <w:szCs w:val="20"/>
        </w:rPr>
        <w:t xml:space="preserve">어느 부서에 넣느냐가 제품 성능보다 성사 확률에 크게 작용</w:t>
      </w:r>
      <w:r>
        <w:rPr>
          <w:rFonts w:ascii="맑은 고딕" w:cs="맑은 고딕" w:eastAsia="맑은 고딕" w:hAnsi="맑은 고딕"/>
          <w:sz w:val="20"/>
          <w:szCs w:val="20"/>
        </w:rPr>
        <w:t xml:space="preserve">할 수 있습니다.</w:t>
      </w:r>
    </w:p>
    <w:p>
      <w:pPr>
        <w:pStyle w:val="Heading2"/>
        <w:spacing w:after="140" w:before="320"/>
      </w:pPr>
      <w:r>
        <w:rPr>
          <w:rFonts w:ascii="맑은 고딕" w:cs="맑은 고딕" w:eastAsia="맑은 고딕" w:hAnsi="맑은 고딕"/>
          <w:b/>
          <w:bCs/>
          <w:color w:val="2E5C8A"/>
          <w:sz w:val="24"/>
          <w:szCs w:val="24"/>
        </w:rPr>
        <w:t xml:space="preserve">발견 2 — 인건비 절감 논리가 겸직 구조에서 무너진다</w:t>
      </w:r>
    </w:p>
    <w:p>
      <w:pPr>
        <w:spacing w:after="120" w:before="0" w:line="300"/>
      </w:pPr>
      <w:r>
        <w:rPr>
          <w:rFonts w:ascii="맑은 고딕" w:cs="맑은 고딕" w:eastAsia="맑은 고딕" w:hAnsi="맑은 고딕"/>
          <w:sz w:val="20"/>
          <w:szCs w:val="20"/>
        </w:rPr>
        <w:t xml:space="preserve">서로 다른 세 세그먼트에서 같은 구조가 지적되었습니다. 인력은 정수 단위로만 줄어드는데 로봇은 업무의 일부만 가져갑니다.</w:t>
      </w:r>
    </w:p>
    <w:p>
      <w:pPr>
        <w:pStyle w:val="ListParagraph"/>
        <w:numPr>
          <w:ilvl w:val="0"/>
          <w:numId w:val="2"/>
        </w:numPr>
        <w:spacing w:after="80" w:line="300"/>
      </w:pPr>
      <w:r>
        <w:rPr>
          <w:rFonts w:ascii="맑은 고딕" w:cs="맑은 고딕" w:eastAsia="맑은 고딕" w:hAnsi="맑은 고딕"/>
          <w:b/>
          <w:bCs/>
          <w:sz w:val="20"/>
          <w:szCs w:val="20"/>
        </w:rPr>
        <w:t xml:space="preserve">P12 (제조) — </w:t>
      </w:r>
      <w:r>
        <w:rPr>
          <w:rFonts w:ascii="맑은 고딕" w:cs="맑은 고딕" w:eastAsia="맑은 고딕" w:hAnsi="맑은 고딕"/>
          <w:sz w:val="20"/>
          <w:szCs w:val="20"/>
        </w:rPr>
        <w:t xml:space="preserve">"그 5명이 물류만 하는 게 아닙니다. 로봇이 물류를 다 해도 그 사람들은 남습니다."</w:t>
      </w:r>
    </w:p>
    <w:p>
      <w:pPr>
        <w:pStyle w:val="ListParagraph"/>
        <w:numPr>
          <w:ilvl w:val="0"/>
          <w:numId w:val="2"/>
        </w:numPr>
        <w:spacing w:after="80" w:line="300"/>
      </w:pPr>
      <w:r>
        <w:rPr>
          <w:rFonts w:ascii="맑은 고딕" w:cs="맑은 고딕" w:eastAsia="맑은 고딕" w:hAnsi="맑은 고딕"/>
          <w:b/>
          <w:bCs/>
          <w:sz w:val="20"/>
          <w:szCs w:val="20"/>
        </w:rPr>
        <w:t xml:space="preserve">B1 (도급사) — </w:t>
      </w:r>
      <w:r>
        <w:rPr>
          <w:rFonts w:ascii="맑은 고딕" w:cs="맑은 고딕" w:eastAsia="맑은 고딕" w:hAnsi="맑은 고딕"/>
          <w:sz w:val="20"/>
          <w:szCs w:val="20"/>
        </w:rPr>
        <w:t xml:space="preserve">"경비 업무는 순찰이 30%고 나머지 70%는 민원·출입통제·택배·긴급대응입니다."</w:t>
      </w:r>
    </w:p>
    <w:p>
      <w:pPr>
        <w:pStyle w:val="ListParagraph"/>
        <w:numPr>
          <w:ilvl w:val="0"/>
          <w:numId w:val="2"/>
        </w:numPr>
        <w:spacing w:after="80" w:line="300"/>
      </w:pPr>
      <w:r>
        <w:rPr>
          <w:rFonts w:ascii="맑은 고딕" w:cs="맑은 고딕" w:eastAsia="맑은 고딕" w:hAnsi="맑은 고딕"/>
          <w:b/>
          <w:bCs/>
          <w:sz w:val="20"/>
          <w:szCs w:val="20"/>
        </w:rPr>
        <w:t xml:space="preserve">P2 (오피스) — </w:t>
      </w:r>
      <w:r>
        <w:rPr>
          <w:rFonts w:ascii="맑은 고딕" w:cs="맑은 고딕" w:eastAsia="맑은 고딕" w:hAnsi="맑은 고딕"/>
          <w:sz w:val="20"/>
          <w:szCs w:val="20"/>
        </w:rPr>
        <w:t xml:space="preserve">"0.5명은 의미 없어요. 교대 근무는 사람 수를 못 쪼갭니다."</w:t>
      </w:r>
    </w:p>
    <w:p>
      <w:pPr>
        <w:pBdr>
          <w:left w:val="single" w:color="2E5C8A" w:sz="24" w:space="8"/>
        </w:pBdr>
        <w:shd w:fill="F2F2F2" w:val="clear"/>
        <w:spacing w:after="0" w:before="200"/>
        <w:ind w:left="180" w:right="180"/>
      </w:pPr>
      <w:r>
        <w:rPr>
          <w:rFonts w:ascii="맑은 고딕" w:cs="맑은 고딕" w:eastAsia="맑은 고딕" w:hAnsi="맑은 고딕"/>
          <w:b/>
          <w:bCs/>
          <w:color w:val="2E5C8A"/>
          <w:sz w:val="20"/>
          <w:szCs w:val="20"/>
        </w:rPr>
        <w:t xml:space="preserve">실행 가능한 대안 — P12 본인이 제시</w:t>
      </w:r>
    </w:p>
    <w:p>
      <w:pPr>
        <w:pBdr>
          <w:left w:val="single" w:color="2E5C8A" w:sz="24" w:space="8"/>
        </w:pBdr>
        <w:shd w:fill="F2F2F2" w:val="clear"/>
        <w:spacing w:after="60" w:before="60" w:line="300"/>
        <w:ind w:left="180" w:right="180"/>
      </w:pPr>
      <w:r>
        <w:rPr>
          <w:rFonts w:ascii="맑은 고딕" w:cs="맑은 고딕" w:eastAsia="맑은 고딕" w:hAnsi="맑은 고딕"/>
          <w:color w:val="333333"/>
          <w:sz w:val="19"/>
          <w:szCs w:val="19"/>
        </w:rPr>
        <w:t xml:space="preserve">제안서의 절감액 산식을 「N명 감축」에서 「향후 M년간 결원 미충원 N명분」으로 바꾸십시오.</w:t>
      </w:r>
    </w:p>
    <w:p>
      <w:pPr>
        <w:pBdr>
          <w:left w:val="single" w:color="2E5C8A" w:sz="24" w:space="8"/>
        </w:pBdr>
        <w:shd w:fill="F2F2F2" w:val="clear"/>
        <w:spacing w:after="200" w:before="60" w:line="300"/>
        <w:ind w:left="180" w:right="180"/>
      </w:pPr>
      <w:r>
        <w:rPr>
          <w:rFonts w:ascii="맑은 고딕" w:cs="맑은 고딕" w:eastAsia="맑은 고딕" w:hAnsi="맑은 고딕"/>
          <w:color w:val="333333"/>
          <w:sz w:val="19"/>
          <w:szCs w:val="19"/>
        </w:rPr>
        <w:t xml:space="preserve">있는 사람을 자르는 건 불가능하지만 퇴직자 자리를 안 채우는 건 가능하며, 그건 절감으로 인정된다는 것이 게이트키퍼 본인의 말입니다.</w:t>
      </w:r>
    </w:p>
    <w:p>
      <w:pPr>
        <w:pStyle w:val="Heading2"/>
        <w:spacing w:after="140" w:before="320"/>
      </w:pPr>
      <w:r>
        <w:rPr>
          <w:rFonts w:ascii="맑은 고딕" w:cs="맑은 고딕" w:eastAsia="맑은 고딕" w:hAnsi="맑은 고딕"/>
          <w:b/>
          <w:bCs/>
          <w:color w:val="2E5C8A"/>
          <w:sz w:val="24"/>
          <w:szCs w:val="24"/>
        </w:rPr>
        <w:t xml:space="preserve">발견 3 — 인건비 절감이 아닌 구매 동인이 12명 전원에게서 나왔다</w:t>
      </w:r>
    </w:p>
    <w:p>
      <w:pPr>
        <w:spacing w:after="120" w:before="0" w:line="300"/>
      </w:pPr>
      <w:r>
        <w:rPr>
          <w:rFonts w:ascii="맑은 고딕" w:cs="맑은 고딕" w:eastAsia="맑은 고딕" w:hAnsi="맑은 고딕"/>
          <w:sz w:val="20"/>
          <w:szCs w:val="20"/>
        </w:rPr>
        <w:t xml:space="preserve">「인력을 못 줄여도 도입할 이유가 있는가」라는 질문에 전원이 「있다」고 답했습니다.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1900"/>
        <w:gridCol w:w="5226"/>
      </w:tblGrid>
      <w:tr>
        <w:trPr>
          <w:tblHeader/>
        </w:trPr>
        <w:tc>
          <w:tcPr>
            <w:tcW w:type="dxa" w:w="19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유형</w:t>
            </w:r>
          </w:p>
        </w:tc>
        <w:tc>
          <w:tcPr>
            <w:tcW w:type="dxa" w:w="19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해당 페르소나</w:t>
            </w:r>
          </w:p>
        </w:tc>
        <w:tc>
          <w:tcPr>
            <w:tcW w:type="dxa" w:w="5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내용</w:t>
            </w:r>
          </w:p>
        </w:tc>
      </w:tr>
      <w:tr>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입찰 수주 경쟁력</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P2, B1</w:t>
            </w:r>
          </w:p>
        </w:tc>
        <w:tc>
          <w:tcPr>
            <w:tcW w:type="dxa" w:w="5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경쟁사가 로봇을 제안하면 사람만으로는 못 이김</w:t>
            </w:r>
          </w:p>
        </w:tc>
      </w:tr>
      <w:tr>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법적 책임 회피</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P10, P11</w:t>
            </w:r>
          </w:p>
        </w:tc>
        <w:tc>
          <w:tcPr>
            <w:tcW w:type="dxa" w:w="5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중대재해처벌법. ROI 계산 대상이 아님</w:t>
            </w:r>
          </w:p>
        </w:tc>
      </w:tr>
      <w:tr>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증빙 자동 생성</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P3, P8, P11</w:t>
            </w:r>
          </w:p>
        </w:tc>
        <w:tc>
          <w:tcPr>
            <w:tcW w:type="dxa" w:w="5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점검·안전 기록을 사람이 수기 작성 중</w:t>
            </w:r>
          </w:p>
        </w:tc>
      </w:tr>
      <w:tr>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커버리지 확대</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P3, P11</w:t>
            </w:r>
          </w:p>
        </w:tc>
        <w:tc>
          <w:tcPr>
            <w:tcW w:type="dxa" w:w="5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인력 대체가 아니라 무인 시간대·위험 구역을 새로 커버</w:t>
            </w:r>
          </w:p>
        </w:tc>
      </w:tr>
      <w:tr>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사고·페널티 회피</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P1, P5, P6</w:t>
            </w:r>
          </w:p>
        </w:tc>
        <w:tc>
          <w:tcPr>
            <w:tcW w:type="dxa" w:w="5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로프공 사고, 산재, 출고 지연 페널티, 결품</w:t>
            </w:r>
          </w:p>
        </w:tc>
      </w:tr>
      <w:tr>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자산가치·임대경쟁력</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P4</w:t>
            </w:r>
          </w:p>
        </w:tc>
        <w:tc>
          <w:tcPr>
            <w:tcW w:type="dxa" w:w="5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보험료, 감정평가, 임차인 실사</w:t>
            </w:r>
          </w:p>
        </w:tc>
      </w:tr>
    </w:tbl>
    <w:p>
      <w:pPr>
        <w:spacing w:after="120" w:before="0" w:line="300"/>
      </w:pPr>
      <w:r>
        <w:rPr>
          <w:rFonts w:ascii="맑은 고딕" w:cs="맑은 고딕" w:eastAsia="맑은 고딕" w:hAnsi="맑은 고딕"/>
          <w:b/>
          <w:bCs/>
          <w:sz w:val="20"/>
          <w:szCs w:val="20"/>
        </w:rPr>
        <w:t xml:space="preserve">「인건비 얼마 절감」은 12개 페르소나 중 어느 곳에서도 단독 구매 사유가 아니었습니다.</w:t>
      </w:r>
      <w:r>
        <w:rPr>
          <w:rFonts w:ascii="맑은 고딕" w:cs="맑은 고딕" w:eastAsia="맑은 고딕" w:hAnsi="맑은 고딕"/>
          <w:sz w:val="20"/>
          <w:szCs w:val="20"/>
        </w:rPr>
        <w:t xml:space="preserve"> 세일즈 자료의 중심을 바꿔야 할 근거입니다.</w:t>
      </w:r>
    </w:p>
    <w:p>
      <w:pPr>
        <w:pStyle w:val="Heading2"/>
        <w:spacing w:after="140" w:before="320"/>
      </w:pPr>
      <w:r>
        <w:rPr>
          <w:rFonts w:ascii="맑은 고딕" w:cs="맑은 고딕" w:eastAsia="맑은 고딕" w:hAnsi="맑은 고딕"/>
          <w:b/>
          <w:bCs/>
          <w:color w:val="2E5C8A"/>
          <w:sz w:val="24"/>
          <w:szCs w:val="24"/>
        </w:rPr>
        <w:t xml:space="preserve">발견 4 — 소유·운영 분리 구조에서 지불 주체 공백이 확인됨</w:t>
      </w:r>
    </w:p>
    <w:p>
      <w:pPr>
        <w:pStyle w:val="ListParagraph"/>
        <w:numPr>
          <w:ilvl w:val="0"/>
          <w:numId w:val="2"/>
        </w:numPr>
        <w:spacing w:after="80" w:line="300"/>
      </w:pPr>
      <w:r>
        <w:rPr>
          <w:rFonts w:ascii="맑은 고딕" w:cs="맑은 고딕" w:eastAsia="맑은 고딕" w:hAnsi="맑은 고딕"/>
          <w:b/>
          <w:bCs/>
          <w:sz w:val="20"/>
          <w:szCs w:val="20"/>
        </w:rPr>
        <w:t xml:space="preserve">오피스 — </w:t>
      </w:r>
      <w:r>
        <w:rPr>
          <w:rFonts w:ascii="맑은 고딕" w:cs="맑은 고딕" w:eastAsia="맑은 고딕" w:hAnsi="맑은 고딕"/>
          <w:sz w:val="20"/>
          <w:szCs w:val="20"/>
        </w:rPr>
        <w:t xml:space="preserve">P1(소유)은 "절감액은 FM사 이익으로 간다"며 지불 거부, P2(FM)는 "계약 끝나면 이 로봇 어디로 가나"며 주저. 양쪽 다 사지 않습니다.</w:t>
      </w:r>
    </w:p>
    <w:p>
      <w:pPr>
        <w:pStyle w:val="ListParagraph"/>
        <w:numPr>
          <w:ilvl w:val="0"/>
          <w:numId w:val="2"/>
        </w:numPr>
        <w:spacing w:after="80" w:line="300"/>
      </w:pPr>
      <w:r>
        <w:rPr>
          <w:rFonts w:ascii="맑은 고딕" w:cs="맑은 고딕" w:eastAsia="맑은 고딕" w:hAnsi="맑은 고딕"/>
          <w:b/>
          <w:bCs/>
          <w:sz w:val="20"/>
          <w:szCs w:val="20"/>
        </w:rPr>
        <w:t xml:space="preserve">예외 — </w:t>
      </w:r>
      <w:r>
        <w:rPr>
          <w:rFonts w:ascii="맑은 고딕" w:cs="맑은 고딕" w:eastAsia="맑은 고딕" w:hAnsi="맑은 고딕"/>
          <w:sz w:val="20"/>
          <w:szCs w:val="20"/>
        </w:rPr>
        <w:t xml:space="preserve">S3(외벽·고소작업)는 소유주 직접 발주 항목이며, 이미 인력난으로 용역비 30% 인상을 집행한 이력이 있습니다. 오피스에서 소유주 예산에 직접 닿는 유일한 통로입니다.</w:t>
      </w:r>
    </w:p>
    <w:p>
      <w:pPr>
        <w:pStyle w:val="ListParagraph"/>
        <w:numPr>
          <w:ilvl w:val="0"/>
          <w:numId w:val="2"/>
        </w:numPr>
        <w:spacing w:after="80" w:line="300"/>
      </w:pPr>
      <w:r>
        <w:rPr>
          <w:rFonts w:ascii="맑은 고딕" w:cs="맑은 고딕" w:eastAsia="맑은 고딕" w:hAnsi="맑은 고딕"/>
          <w:b/>
          <w:bCs/>
          <w:sz w:val="20"/>
          <w:szCs w:val="20"/>
        </w:rPr>
        <w:t xml:space="preserve">물류 — </w:t>
      </w:r>
      <w:r>
        <w:rPr>
          <w:rFonts w:ascii="맑은 고딕" w:cs="맑은 고딕" w:eastAsia="맑은 고딕" w:hAnsi="맑은 고딕"/>
          <w:sz w:val="20"/>
          <w:szCs w:val="20"/>
        </w:rPr>
        <w:t xml:space="preserve">P5(3PL)와 P6(화주)가 서로를 최종 승인자로 지목. S8(재고 실사)에서 특히 뚜렷합니다. P5는 "화주 KPI라 판단 불가", P6는 실제로 재고조사 비용을 매달 지출 중입니다.</w:t>
      </w:r>
    </w:p>
    <w:p>
      <w:pPr>
        <w:spacing w:after="120" w:before="0" w:line="300"/>
      </w:pPr>
      <w:r>
        <w:rPr>
          <w:rFonts w:ascii="맑은 고딕" w:cs="맑은 고딕" w:eastAsia="맑은 고딕" w:hAnsi="맑은 고딕"/>
          <w:b/>
          <w:bCs/>
          <w:sz w:val="20"/>
          <w:szCs w:val="20"/>
        </w:rPr>
        <w:t xml:space="preserve">가치 수혜자와 비용 부담자가 다른 서비스는 계약 설계 없이는 팔리지 않습니다.</w:t>
      </w:r>
    </w:p>
    <w:p>
      <w:pPr>
        <w:pStyle w:val="Heading2"/>
        <w:spacing w:after="140" w:before="320"/>
      </w:pPr>
      <w:r>
        <w:rPr>
          <w:rFonts w:ascii="맑은 고딕" w:cs="맑은 고딕" w:eastAsia="맑은 고딕" w:hAnsi="맑은 고딕"/>
          <w:b/>
          <w:bCs/>
          <w:color w:val="2E5C8A"/>
          <w:sz w:val="24"/>
          <w:szCs w:val="24"/>
        </w:rPr>
        <w:t xml:space="preserve">발견 5 — 계약 구조 선호가 세그먼트별로 정반대다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400"/>
        <w:gridCol w:w="5126"/>
      </w:tblGrid>
      <w:tr>
        <w:trPr>
          <w:tblHeader/>
        </w:trPr>
        <w:tc>
          <w:tcPr>
            <w:tcW w:type="dxa" w:w="1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세그먼트</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선호</w:t>
            </w:r>
          </w:p>
        </w:tc>
        <w:tc>
          <w:tcPr>
            <w:tcW w:type="dxa" w:w="51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이유</w:t>
            </w:r>
          </w:p>
        </w:tc>
      </w:tr>
      <w:tr>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B 구독 (3/3 전원)</w:t>
            </w:r>
          </w:p>
        </w:tc>
        <w:tc>
          <w:tcPr>
            <w:tcW w:type="dxa" w:w="51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위탁계약 종료 시 반납·재배치. CAPEX가 NOI를 깎음</w:t>
            </w:r>
          </w:p>
        </w:tc>
      </w:tr>
      <w:tr>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물류센터</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A / B / C 전부 갈림</w:t>
            </w:r>
          </w:p>
        </w:tc>
        <w:tc>
          <w:tcPr>
            <w:tcW w:type="dxa" w:w="51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소유는 자산계상(A), 3PL은 대수 증감(B), 화주는 성과정산(C)</w:t>
            </w:r>
          </w:p>
        </w:tc>
      </w:tr>
      <w:tr>
        <w:tc>
          <w:tcPr>
            <w:tcW w:type="dxa" w:w="1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데이터센터</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A 구매 (보안 강제)</w:t>
            </w:r>
          </w:p>
        </w:tc>
        <w:tc>
          <w:tcPr>
            <w:tcW w:type="dxa" w:w="51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원격 접속 불가 → 폐쇄망 자체 운영. 원격관제는 역품질</w:t>
            </w:r>
          </w:p>
        </w:tc>
      </w:tr>
      <w:tr>
        <w:tc>
          <w:tcPr>
            <w:tcW w:type="dxa" w:w="1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제조공장</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A 구매 (3/3 전원)</w:t>
            </w:r>
          </w:p>
        </w:tc>
        <w:tc>
          <w:tcPr>
            <w:tcW w:type="dxa" w:w="51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설비 구매 관행. 단 P12·B2 모두 "B가 심사를 더 쉽게 통과"</w:t>
            </w:r>
          </w:p>
        </w:tc>
      </w:tr>
    </w:tbl>
    <w:p>
      <w:pPr>
        <w:spacing w:after="120" w:before="0" w:line="300"/>
      </w:pPr>
      <w:r>
        <w:rPr>
          <w:rFonts w:ascii="맑은 고딕" w:cs="맑은 고딕" w:eastAsia="맑은 고딕" w:hAnsi="맑은 고딕"/>
          <w:b/>
          <w:bCs/>
          <w:sz w:val="20"/>
          <w:szCs w:val="20"/>
        </w:rPr>
        <w:t xml:space="preserve">P12와 B2가 「선호는 A지만 통과는 B가 쉽다」고 분리해서 답한 점이 중요합니다. 선호도만 조사하면 틀린 결론이 나옵니다.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Ⅵ. 데스크 리서치 결과 (5건)</w:t>
      </w:r>
    </w:p>
    <w:p>
      <w:pPr>
        <w:pBdr>
          <w:left w:val="single" w:color="A03030" w:sz="24" w:space="8"/>
        </w:pBdr>
        <w:shd w:fill="F2F2F2" w:val="clear"/>
        <w:spacing w:after="0" w:before="200"/>
        <w:ind w:left="180" w:right="180"/>
      </w:pPr>
      <w:r>
        <w:rPr>
          <w:rFonts w:ascii="맑은 고딕" w:cs="맑은 고딕" w:eastAsia="맑은 고딕" w:hAnsi="맑은 고딕"/>
          <w:b/>
          <w:bCs/>
          <w:color w:val="A03030"/>
          <w:sz w:val="20"/>
          <w:szCs w:val="20"/>
        </w:rPr>
        <w:t xml:space="preserve">조사 방법과 한계</w:t>
      </w:r>
    </w:p>
    <w:p>
      <w:pPr>
        <w:pBdr>
          <w:left w:val="single" w:color="A03030" w:sz="24" w:space="8"/>
        </w:pBdr>
        <w:shd w:fill="F2F2F2" w:val="clear"/>
        <w:spacing w:after="60" w:before="60" w:line="300"/>
        <w:ind w:left="180" w:right="180"/>
      </w:pPr>
      <w:r>
        <w:rPr>
          <w:rFonts w:ascii="맑은 고딕" w:cs="맑은 고딕" w:eastAsia="맑은 고딕" w:hAnsi="맑은 고딕"/>
          <w:color w:val="333333"/>
          <w:sz w:val="19"/>
          <w:szCs w:val="19"/>
        </w:rPr>
        <w:t xml:space="preserve">조사 시점의 실행 환경에서 웹 문서 직접 열람이 차단되어, 아래 내용은 전부 검색 결과 요약 기반의 2차 정보입니다. 법령 원문과 입찰공고 원문을 직접 대조하지 못했습니다.</w:t>
      </w:r>
    </w:p>
    <w:p>
      <w:pPr>
        <w:pBdr>
          <w:left w:val="single" w:color="A03030"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신뢰도 A = 복수 출처에서 구체적 수치·조항과 함께 일관 확인 / B = 단일 출처 또는 일부만 확인 / C = 확인 실패</w:t>
      </w:r>
    </w:p>
    <w:p>
      <w:pPr>
        <w:pBdr>
          <w:left w:val="single" w:color="A03030" w:sz="24" w:space="8"/>
        </w:pBdr>
        <w:shd w:fill="F2F2F2" w:val="clear"/>
        <w:spacing w:after="200" w:before="60" w:line="300"/>
        <w:ind w:left="180" w:right="180"/>
      </w:pPr>
      <w:r>
        <w:rPr>
          <w:rFonts w:ascii="맑은 고딕" w:cs="맑은 고딕" w:eastAsia="맑은 고딕" w:hAnsi="맑은 고딕"/>
          <w:color w:val="333333"/>
          <w:sz w:val="19"/>
          <w:szCs w:val="19"/>
        </w:rPr>
        <w:t xml:space="preserve">등급과 무관하게 법률 판단(항목 1·2)은 변호사 또는 관할 기관 유권해석으로 확정하십시오. 이 문서는 법률 자문이 아닙니다.</w:t>
      </w:r>
    </w:p>
    <w:p>
      <w:pPr>
        <w:pStyle w:val="Heading2"/>
        <w:spacing w:after="140" w:before="320"/>
      </w:pPr>
      <w:r>
        <w:rPr>
          <w:rFonts w:ascii="맑은 고딕" w:cs="맑은 고딕" w:eastAsia="맑은 고딕" w:hAnsi="맑은 고딕"/>
          <w:b/>
          <w:bCs/>
          <w:color w:val="2E5C8A"/>
          <w:sz w:val="24"/>
          <w:szCs w:val="24"/>
        </w:rPr>
        <w:t xml:space="preserve">항목 1 — 경비업법상 로봇의 경비원 대체 범위</w:t>
      </w:r>
    </w:p>
    <w:p>
      <w:pPr>
        <w:spacing w:after="120" w:before="0" w:line="300"/>
      </w:pPr>
      <w:r>
        <w:rPr>
          <w:rFonts w:ascii="맑은 고딕" w:cs="맑은 고딕" w:eastAsia="맑은 고딕" w:hAnsi="맑은 고딕"/>
          <w:b/>
          <w:bCs/>
          <w:color w:val="A03030"/>
          <w:sz w:val="20"/>
          <w:szCs w:val="20"/>
        </w:rPr>
        <w:t xml:space="preserve">판정: B1의 주장을 뒷받침하는 근거를 찾지 못했습니다 (신뢰도 B)</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6226"/>
        <w:gridCol w:w="800"/>
      </w:tblGrid>
      <w:tr>
        <w:trPr>
          <w:tblHeader/>
        </w:trPr>
        <w:tc>
          <w:tcPr>
            <w:tcW w:type="dxa" w:w="2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확인 사항</w:t>
            </w:r>
          </w:p>
        </w:tc>
        <w:tc>
          <w:tcPr>
            <w:tcW w:type="dxa" w:w="6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내용</w:t>
            </w:r>
          </w:p>
        </w:tc>
        <w:tc>
          <w:tcPr>
            <w:tcW w:type="dxa" w:w="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등급</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무인·기계경비는 이미 합법</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기계경비업무 정의가 법에 존재하며 에스원·SK쉴더스·KT텔레캅이 시장 형성(2021년 점유율 56/28/15%). 「경비는 사람이 해야 한다」는 법적 전제 자체가 없음</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「20명 이상」은 허가 요건</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시행령 별표1의 일반경비원 20명 이상은 경비업체의 허가 요건이지 건물당 배치 기준이 아님. 일반 오피스·공장의 법정 최소 경비원 수 규정은 발견되지 않음</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2026.1.8 개정은 겸직 확대</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경비원이 청소·재활용 분리배출·택배 보관 등 경비 외 업무 수행 가능하도록 명확화. 법이 겸직을 승인하는 방향</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B</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정부 규제개선은 공공 트랙</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「첨단로봇 규제혁신 방안」(2023.3, 51개 과제)의 순찰로봇 과제는 경찰장비 도입 근거 마련. SK쉴더스 규제샌드박스 특례 대상도 도로교통법·공원녹지법이지 경비업법이 아님</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확산 지연 원인은 주행 환경</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업계는 법규가 아니라 방지턱·지형·날씨 등 실외 변수를 주된 제약으로 지목</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B</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유권해석 확인 실패</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순찰이 「기계경비업무」에 포섭되는지에 대한 법제처·경찰청 유권해석을 발견하지 못함</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C</w:t>
            </w:r>
          </w:p>
        </w:tc>
      </w:tr>
    </w:tbl>
    <w:p>
      <w:pPr>
        <w:spacing w:after="120" w:before="0" w:line="300"/>
      </w:pPr>
      <w:r>
        <w:rPr>
          <w:rFonts w:ascii="맑은 고딕" w:cs="맑은 고딕" w:eastAsia="맑은 고딕" w:hAnsi="맑은 고딕"/>
          <w:b/>
          <w:bCs/>
          <w:sz w:val="20"/>
          <w:szCs w:val="20"/>
        </w:rPr>
        <w:t xml:space="preserve">남은 실무 리스크 — </w:t>
      </w:r>
      <w:r>
        <w:rPr>
          <w:rFonts w:ascii="맑은 고딕" w:cs="맑은 고딕" w:eastAsia="맑은 고딕" w:hAnsi="맑은 고딕"/>
          <w:sz w:val="20"/>
          <w:szCs w:val="20"/>
        </w:rPr>
        <w:t xml:space="preserve">유권해석 부재 자체가 리스크입니다. 대기업 법무팀은 「명문 근거가 없다」보다 「판단한 사례가 없다」를 더 싫어합니다.</w:t>
      </w:r>
    </w:p>
    <w:p>
      <w:pPr>
        <w:spacing w:after="120" w:before="0" w:line="300"/>
      </w:pPr>
      <w:r>
        <w:rPr>
          <w:rFonts w:ascii="맑은 고딕" w:cs="맑은 고딕" w:eastAsia="맑은 고딕" w:hAnsi="맑은 고딕"/>
          <w:b/>
          <w:bCs/>
          <w:sz w:val="20"/>
          <w:szCs w:val="20"/>
        </w:rPr>
        <w:t xml:space="preserve">다음 행동 — </w:t>
      </w:r>
      <w:r>
        <w:rPr>
          <w:rFonts w:ascii="맑은 고딕" w:cs="맑은 고딕" w:eastAsia="맑은 고딕" w:hAnsi="맑은 고딕"/>
          <w:sz w:val="20"/>
          <w:szCs w:val="20"/>
        </w:rPr>
        <w:t xml:space="preserve">법제처 국민신문고 또는 관할 시·도경찰청 경비업 담당에 서면 질의 1건. 비용 0원, 소요 2~4주. 회신 공문 자체가 세일즈 자료가 됩니다.</w:t>
      </w:r>
    </w:p>
    <w:p>
      <w:pPr>
        <w:pStyle w:val="Heading2"/>
        <w:spacing w:after="140" w:before="320"/>
      </w:pPr>
      <w:r>
        <w:rPr>
          <w:rFonts w:ascii="맑은 고딕" w:cs="맑은 고딕" w:eastAsia="맑은 고딕" w:hAnsi="맑은 고딕"/>
          <w:b/>
          <w:bCs/>
          <w:color w:val="2E5C8A"/>
          <w:sz w:val="24"/>
          <w:szCs w:val="24"/>
        </w:rPr>
        <w:t xml:space="preserve">항목 2 — 로봇 기록의 법적 증빙 인정 여부 및 안전 예산 경로</w:t>
      </w:r>
    </w:p>
    <w:p>
      <w:pPr>
        <w:spacing w:after="120" w:before="0" w:line="300"/>
      </w:pPr>
      <w:r>
        <w:rPr>
          <w:rFonts w:ascii="맑은 고딕" w:cs="맑은 고딕" w:eastAsia="맑은 고딕" w:hAnsi="맑은 고딕"/>
          <w:b/>
          <w:bCs/>
          <w:color w:val="2E5C8A"/>
          <w:sz w:val="20"/>
          <w:szCs w:val="20"/>
        </w:rPr>
        <w:t xml:space="preserve">판정: 원래 질문보다 예산 경로 발견이 훨씬 컸습니다. H1을 직접 지지합니다 (신뢰도 A)</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6226"/>
        <w:gridCol w:w="800"/>
      </w:tblGrid>
      <w:tr>
        <w:trPr>
          <w:tblHeader/>
        </w:trPr>
        <w:tc>
          <w:tcPr>
            <w:tcW w:type="dxa" w:w="20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확인 사항</w:t>
            </w:r>
          </w:p>
        </w:tc>
        <w:tc>
          <w:tcPr>
            <w:tcW w:type="dxa" w:w="6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내용</w:t>
            </w:r>
          </w:p>
        </w:tc>
        <w:tc>
          <w:tcPr>
            <w:tcW w:type="dxa" w:w="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등급</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산안비 100% 계상</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2026년 1월 1일부터 스마트 안전장비 구입·임대 비용을 100% 산업안전보건관리비로 계상 가능(이전엔 일부만). 「구입·임대」가 함께 명시 — RaaS 구독료도 이 경로 가능</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AI 인체감지 지정품목</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「스마트 안전장비 지원사업」 37개 지정품목에 AI 기반 인체감지시스템 포함. 보조 최대 4,000만원. 신청 clean.kosha.or.kr, 2025년 12월 말부터</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부가 인센티브</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건설현장 도입 시 시공능력평가 가점, 재해공제료 할인</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B</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중대재해처벌법 면책 없음</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5인 이상 사업장, 중대재해 발생 시 1년 이상 징역 또는 최대 10억원 벌금. 특정 장비 도입 시 면책된다는 조항은 존재하지 않음</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A</w:t>
            </w:r>
          </w:p>
        </w:tc>
      </w:tr>
      <w:tr>
        <w:tc>
          <w:tcPr>
            <w:tcW w:type="dxa" w:w="20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실무 해석은 입증 보조</w:t>
            </w:r>
          </w:p>
        </w:tc>
        <w:tc>
          <w:tcPr>
            <w:tcW w:type="dxa" w:w="6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「서류가 아니라 실질적 이행」을 본다는 방향. "CCTV 설치만으로는 부족하고 실시간 감지·대응 시스템을 갖췄는지가 핵심"이라는 서술이 반복됨</w:t>
            </w:r>
          </w:p>
        </w:tc>
        <w:tc>
          <w:tcPr>
            <w:tcW w:type="dxa" w:w="8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B</w:t>
            </w:r>
          </w:p>
        </w:tc>
      </w:tr>
      <w:tr>
        <w:tc>
          <w:tcPr>
            <w:tcW w:type="dxa" w:w="20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기록의 법적 지위</w:t>
            </w:r>
          </w:p>
        </w:tc>
        <w:tc>
          <w:tcPr>
            <w:tcW w:type="dxa" w:w="6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자동 생성 기록이 고용노동부 조사·소방 자체점검에서 증빙으로 채택된 사례를 확인하지 못함</w:t>
            </w:r>
          </w:p>
        </w:tc>
        <w:tc>
          <w:tcPr>
            <w:tcW w:type="dxa" w:w="8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7"/>
                <w:szCs w:val="17"/>
              </w:rPr>
              <w:t xml:space="preserve">C</w:t>
            </w:r>
          </w:p>
        </w:tc>
      </w:tr>
    </w:tbl>
    <w:p>
      <w:pPr>
        <w:pBdr>
          <w:left w:val="single" w:color="A03030" w:sz="24" w:space="8"/>
        </w:pBdr>
        <w:shd w:fill="F2F2F2" w:val="clear"/>
        <w:spacing w:after="0" w:before="200"/>
        <w:ind w:left="180" w:right="180"/>
      </w:pPr>
      <w:r>
        <w:rPr>
          <w:rFonts w:ascii="맑은 고딕" w:cs="맑은 고딕" w:eastAsia="맑은 고딕" w:hAnsi="맑은 고딕"/>
          <w:b/>
          <w:bCs/>
          <w:color w:val="A03030"/>
          <w:sz w:val="20"/>
          <w:szCs w:val="20"/>
        </w:rPr>
        <w:t xml:space="preserve">⚠ 결정적 제약 두 가지</w:t>
      </w:r>
    </w:p>
    <w:p>
      <w:pPr>
        <w:pBdr>
          <w:left w:val="single" w:color="A03030"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① 지원 대상이 상시근로자 50인 미만입니다. P10(종업원 300~500명)은 대상이 아닙니다.</w:t>
      </w:r>
    </w:p>
    <w:p>
      <w:pPr>
        <w:pBdr>
          <w:left w:val="single" w:color="A03030" w:sz="24" w:space="8"/>
        </w:pBdr>
        <w:shd w:fill="F2F2F2" w:val="clear"/>
        <w:spacing w:after="200" w:before="60" w:line="300"/>
        <w:ind w:left="180" w:right="180"/>
      </w:pPr>
      <w:r>
        <w:rPr>
          <w:rFonts w:ascii="맑은 고딕" w:cs="맑은 고딕" w:eastAsia="맑은 고딕" w:hAnsi="맑은 고딕"/>
          <w:b/>
          <w:bCs/>
          <w:color w:val="333333"/>
          <w:sz w:val="19"/>
          <w:szCs w:val="19"/>
        </w:rPr>
        <w:t xml:space="preserve">② 산업안전보건관리비는 원칙적으로 건설공사 기준입니다.</w:t>
      </w:r>
      <w:r>
        <w:rPr>
          <w:rFonts w:ascii="맑은 고딕" w:cs="맑은 고딕" w:eastAsia="맑은 고딕" w:hAnsi="맑은 고딕"/>
          <w:color w:val="333333"/>
          <w:sz w:val="19"/>
          <w:szCs w:val="19"/>
        </w:rPr>
        <w:t xml:space="preserve"> 제조공장 상시 운영에 동일 적용되는지는 별도 확인이 필요합니다. 다만 이 때문에 </w:t>
      </w:r>
      <w:r>
        <w:rPr>
          <w:rFonts w:ascii="맑은 고딕" w:cs="맑은 고딕" w:eastAsia="맑은 고딕" w:hAnsi="맑은 고딕"/>
          <w:b/>
          <w:bCs/>
          <w:color w:val="333333"/>
          <w:sz w:val="19"/>
          <w:szCs w:val="19"/>
        </w:rPr>
        <w:t xml:space="preserve">건설현장이 신규 타깃 세그먼트로 부상</w:t>
      </w:r>
      <w:r>
        <w:rPr>
          <w:rFonts w:ascii="맑은 고딕" w:cs="맑은 고딕" w:eastAsia="맑은 고딕" w:hAnsi="맑은 고딕"/>
          <w:color w:val="333333"/>
          <w:sz w:val="19"/>
          <w:szCs w:val="19"/>
        </w:rPr>
        <w:t xml:space="preserve">합니다 — 원래 4개 세그먼트에 없던 영역입니다.</w:t>
      </w:r>
    </w:p>
    <w:p>
      <w:pPr>
        <w:spacing w:after="120" w:before="0" w:line="300"/>
      </w:pPr>
      <w:r>
        <w:rPr>
          <w:rFonts w:ascii="맑은 고딕" w:cs="맑은 고딕" w:eastAsia="맑은 고딕" w:hAnsi="맑은 고딕"/>
          <w:b/>
          <w:bCs/>
          <w:sz w:val="20"/>
          <w:szCs w:val="20"/>
        </w:rPr>
        <w:t xml:space="preserve">전략 전환 — </w:t>
      </w:r>
      <w:r>
        <w:rPr>
          <w:rFonts w:ascii="맑은 고딕" w:cs="맑은 고딕" w:eastAsia="맑은 고딕" w:hAnsi="맑은 고딕"/>
          <w:sz w:val="20"/>
          <w:szCs w:val="20"/>
        </w:rPr>
        <w:t xml:space="preserve">H8(법적 증빙)의 성격이 바뀝니다. 「면책」이 아니라 </w:t>
      </w:r>
      <w:r>
        <w:rPr>
          <w:rFonts w:ascii="맑은 고딕" w:cs="맑은 고딕" w:eastAsia="맑은 고딕" w:hAnsi="맑은 고딕"/>
          <w:b/>
          <w:bCs/>
          <w:sz w:val="20"/>
          <w:szCs w:val="20"/>
        </w:rPr>
        <w:t xml:space="preserve">「단순 CCTV보다 우월한 입증 수단」</w:t>
      </w:r>
      <w:r>
        <w:rPr>
          <w:rFonts w:ascii="맑은 고딕" w:cs="맑은 고딕" w:eastAsia="맑은 고딕" w:hAnsi="맑은 고딕"/>
          <w:sz w:val="20"/>
          <w:szCs w:val="20"/>
        </w:rPr>
        <w:t xml:space="preserve"> 프레임으로 가야 합니다. 시장에 이미 그 논리가 통용되고 있습니다.</w:t>
      </w:r>
    </w:p>
    <w:p>
      <w:pPr>
        <w:pStyle w:val="Heading2"/>
        <w:spacing w:after="140" w:before="320"/>
      </w:pPr>
      <w:r>
        <w:rPr>
          <w:rFonts w:ascii="맑은 고딕" w:cs="맑은 고딕" w:eastAsia="맑은 고딕" w:hAnsi="맑은 고딕"/>
          <w:b/>
          <w:bCs/>
          <w:color w:val="2E5C8A"/>
          <w:sz w:val="24"/>
          <w:szCs w:val="24"/>
        </w:rPr>
        <w:t xml:space="preserve">항목 3 — 공공 발주 로봇의 실제 가격과 조달 방식</w:t>
      </w:r>
    </w:p>
    <w:p>
      <w:pPr>
        <w:spacing w:after="120" w:before="0" w:line="300"/>
      </w:pPr>
      <w:r>
        <w:rPr>
          <w:rFonts w:ascii="맑은 고딕" w:cs="맑은 고딕" w:eastAsia="맑은 고딕" w:hAnsi="맑은 고딕"/>
          <w:b/>
          <w:bCs/>
          <w:color w:val="2E5C8A"/>
          <w:sz w:val="20"/>
          <w:szCs w:val="20"/>
        </w:rPr>
        <w:t xml:space="preserve">판정: 가격 앵커 확보 + H3(RaaS = 구매 심사 우회)를 강하게 지지 (신뢰도 A)</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6726"/>
      </w:tblGrid>
      <w:tr>
        <w:trPr>
          <w:tblHeader/>
        </w:trPr>
        <w:tc>
          <w:tcPr>
            <w:tcW w:type="dxa" w:w="2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항목</w:t>
            </w:r>
          </w:p>
        </w:tc>
        <w:tc>
          <w:tcPr>
            <w:tcW w:type="dxa" w:w="67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내용</w:t>
            </w:r>
          </w:p>
        </w:tc>
      </w:tr>
      <w:tr>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공고</w:t>
            </w:r>
          </w:p>
        </w:tc>
        <w:tc>
          <w:tcPr>
            <w:tcW w:type="dxa" w:w="6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조달청 「AI 기반 순찰(경비) 로봇 임대서비스」 카탈로그 계약 입찰공고, 2026년 4월 17일</w:t>
            </w:r>
          </w:p>
        </w:tc>
      </w:tr>
      <w:tr>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추정가격</w:t>
            </w:r>
          </w:p>
        </w:tc>
        <w:tc>
          <w:tcPr>
            <w:tcW w:type="dxa" w:w="6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90억 9,090만원 (부가가치세 별도)</w:t>
            </w:r>
          </w:p>
        </w:tc>
      </w:tr>
      <w:tr>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공고 종료일</w:t>
            </w:r>
          </w:p>
        </w:tc>
        <w:tc>
          <w:tcPr>
            <w:tcW w:type="dxa" w:w="6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2031년 4월 16일 — 5년 장기 공고</w:t>
            </w:r>
          </w:p>
        </w:tc>
      </w:tr>
      <w:tr>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기업당 계약기간</w:t>
            </w:r>
          </w:p>
        </w:tc>
        <w:tc>
          <w:tcPr>
            <w:tcW w:type="dxa" w:w="6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기본 3년 (잔여기간 3년 미만 시 종료일까지)</w:t>
            </w:r>
          </w:p>
        </w:tc>
      </w:tr>
      <w:tr>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대금 방식</w:t>
            </w:r>
          </w:p>
        </w:tc>
        <w:tc>
          <w:tcPr>
            <w:tcW w:type="dxa" w:w="6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월 단위 임대료</w:t>
            </w:r>
          </w:p>
        </w:tc>
      </w:tr>
      <w:tr>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조달청이 밝힌 도입 사유</w:t>
            </w:r>
          </w:p>
        </w:tc>
        <w:tc>
          <w:tcPr>
            <w:tcW w:type="dxa" w:w="6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"초기 구매비용을 크게 절감… 고장 수리 및 유지보수는 공급자의 책임으로 진행되어 공공기관은 부담을 덜 수 있다"</w:t>
            </w:r>
          </w:p>
        </w:tc>
      </w:tr>
      <w:tr>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구매 단가 앵커</w:t>
            </w:r>
          </w:p>
        </w:tc>
        <w:tc>
          <w:tcPr>
            <w:tcW w:type="dxa" w:w="6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고양경찰서 순찰로봇 3대 9,500만원 일시불 → 대당 약 3,170만원 (신뢰도 B)</w:t>
            </w:r>
          </w:p>
        </w:tc>
      </w:tr>
      <w:tr>
        <w:tc>
          <w:tcPr>
            <w:tcW w:type="dxa" w:w="2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비교 참고</w:t>
            </w:r>
          </w:p>
        </w:tc>
        <w:tc>
          <w:tcPr>
            <w:tcW w:type="dxa" w:w="6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자율주행 청소로봇 약 3,300만원/대 · 협동로봇 설치 3,000만원대~ · 서빙로봇 월 렌탈 30~60만원(36·48개월 약정)</w:t>
            </w:r>
          </w:p>
        </w:tc>
      </w:tr>
      <w:tr>
        <w:tc>
          <w:tcPr>
            <w:tcW w:type="dxa" w:w="2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확인 실패</w:t>
            </w:r>
          </w:p>
        </w:tc>
        <w:tc>
          <w:tcPr>
            <w:tcW w:type="dxa" w:w="6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순찰로봇의 실제 월 임대 단가 — 카탈로그 계약 낙찰 결과 확인 필요 (등급 C)</w:t>
            </w:r>
          </w:p>
        </w:tc>
      </w:tr>
    </w:tbl>
    <w:p>
      <w:pPr>
        <w:spacing w:after="120" w:before="0" w:line="300"/>
      </w:pPr>
      <w:r>
        <w:rPr>
          <w:rFonts w:ascii="맑은 고딕" w:cs="맑은 고딕" w:eastAsia="맑은 고딕" w:hAnsi="맑은 고딕"/>
          <w:b/>
          <w:bCs/>
          <w:sz w:val="20"/>
          <w:szCs w:val="20"/>
        </w:rPr>
        <w:t xml:space="preserve">국가 조달기관이 「구매」에 「구독」을 추가한 사건입니다. </w:t>
      </w:r>
      <w:r>
        <w:rPr>
          <w:rFonts w:ascii="맑은 고딕" w:cs="맑은 고딕" w:eastAsia="맑은 고딕" w:hAnsi="맑은 고딕"/>
          <w:sz w:val="20"/>
          <w:szCs w:val="20"/>
        </w:rPr>
        <w:t xml:space="preserve">조달청이 밝힌 도입 사유가 P2·P3·B2의 발언과 그대로 일치하며, H3의 가장 강한 외부 증거입니다.</w:t>
      </w:r>
    </w:p>
    <w:p>
      <w:pPr>
        <w:pStyle w:val="Heading3"/>
        <w:spacing w:after="100" w:before="240"/>
      </w:pPr>
      <w:r>
        <w:rPr>
          <w:rFonts w:ascii="맑은 고딕" w:cs="맑은 고딕" w:eastAsia="맑은 고딕" w:hAnsi="맑은 고딕"/>
          <w:b/>
          <w:bCs/>
          <w:color w:val="000000"/>
          <w:sz w:val="21"/>
          <w:szCs w:val="21"/>
        </w:rPr>
        <w:t xml:space="preserve">페르소나 WTP와의 대조</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1900"/>
        <w:gridCol w:w="3300"/>
        <w:gridCol w:w="2126"/>
      </w:tblGrid>
      <w:tr>
        <w:trPr>
          <w:tblHeader/>
        </w:trPr>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페르소나</w:t>
            </w:r>
          </w:p>
        </w:tc>
        <w:tc>
          <w:tcPr>
            <w:tcW w:type="dxa" w:w="19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 시뮬레이션 WTP</w:t>
            </w:r>
          </w:p>
        </w:tc>
        <w:tc>
          <w:tcPr>
            <w:tcW w:type="dxa" w:w="3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실측 앵커</w:t>
            </w:r>
          </w:p>
        </w:tc>
        <w:tc>
          <w:tcPr>
            <w:tcW w:type="dxa" w:w="21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평가</w:t>
            </w:r>
          </w:p>
        </w:tc>
      </w:tr>
      <w:tr>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P2 (FM 본부장)</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월 300~500만원 (S1)</w:t>
            </w:r>
          </w:p>
        </w:tc>
        <w:tc>
          <w:tcPr>
            <w:tcW w:type="dxa" w:w="3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대당 3,170만원 → 3년 상각 시 월 약 88만원 + 유지보수·마진</w:t>
            </w:r>
          </w:p>
        </w:tc>
        <w:tc>
          <w:tcPr>
            <w:tcW w:type="dxa" w:w="21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시뮬레이션 WTP가 과대할 가능성</w:t>
            </w:r>
          </w:p>
        </w:tc>
      </w:tr>
      <w:tr>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P3 (소장)</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월 300만원 (S2)</w:t>
            </w:r>
          </w:p>
        </w:tc>
        <w:tc>
          <w:tcPr>
            <w:tcW w:type="dxa" w:w="3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청소로봇 3,300만원 → 3년 상각 시 월 약 92만원</w:t>
            </w:r>
          </w:p>
        </w:tc>
        <w:tc>
          <w:tcPr>
            <w:tcW w:type="dxa" w:w="21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동일</w:t>
            </w:r>
          </w:p>
        </w:tc>
      </w:tr>
    </w:tbl>
    <w:p>
      <w:pPr>
        <w:spacing w:after="120" w:before="0" w:line="300"/>
      </w:pPr>
      <w:r>
        <w:rPr>
          <w:rFonts w:ascii="맑은 고딕" w:cs="맑은 고딕" w:eastAsia="맑은 고딕" w:hAnsi="맑은 고딕"/>
          <w:sz w:val="20"/>
          <w:szCs w:val="20"/>
        </w:rPr>
        <w:t xml:space="preserve">다만 P2의 WTP는 「야간 경비 1개소 3교대 커버」 기준이라 복수 대수 + 관제 + 예외 대응 인력이 포함된 서비스 단가로 읽는 것이 맞습니다. 실제 인터뷰에서 </w:t>
      </w:r>
      <w:r>
        <w:rPr>
          <w:rFonts w:ascii="맑은 고딕" w:cs="맑은 고딕" w:eastAsia="맑은 고딕" w:hAnsi="맑은 고딕"/>
          <w:b/>
          <w:bCs/>
          <w:sz w:val="20"/>
          <w:szCs w:val="20"/>
        </w:rPr>
        <w:t xml:space="preserve">「1대당」인지 「1개소 커버당」인지를 반드시 구분</w:t>
      </w:r>
      <w:r>
        <w:rPr>
          <w:rFonts w:ascii="맑은 고딕" w:cs="맑은 고딕" w:eastAsia="맑은 고딕" w:hAnsi="맑은 고딕"/>
          <w:sz w:val="20"/>
          <w:szCs w:val="20"/>
        </w:rPr>
        <w:t xml:space="preserve">해서 물어야 합니다.</w:t>
      </w:r>
    </w:p>
    <w:p>
      <w:pPr>
        <w:pStyle w:val="Heading2"/>
        <w:spacing w:after="140" w:before="320"/>
      </w:pPr>
      <w:r>
        <w:rPr>
          <w:rFonts w:ascii="맑은 고딕" w:cs="맑은 고딕" w:eastAsia="맑은 고딕" w:hAnsi="맑은 고딕"/>
          <w:b/>
          <w:bCs/>
          <w:color w:val="2E5C8A"/>
          <w:sz w:val="24"/>
          <w:szCs w:val="24"/>
        </w:rPr>
        <w:t xml:space="preserve">항목 4 — FM 위탁계약 기간 및 원가 구조</w:t>
      </w:r>
    </w:p>
    <w:p>
      <w:pPr>
        <w:spacing w:after="120" w:before="0" w:line="300"/>
      </w:pPr>
      <w:r>
        <w:rPr>
          <w:rFonts w:ascii="맑은 고딕" w:cs="맑은 고딕" w:eastAsia="맑은 고딕" w:hAnsi="맑은 고딕"/>
          <w:b/>
          <w:bCs/>
          <w:color w:val="A03030"/>
          <w:sz w:val="20"/>
          <w:szCs w:val="20"/>
        </w:rPr>
        <w:t xml:space="preserve">판정: 계약 기간은 확인 실패. 대신 원가 구조에서 더 중요한 발견 (신뢰도 C / B 혼재)</w:t>
      </w:r>
    </w:p>
    <w:p>
      <w:pPr>
        <w:spacing w:after="120" w:before="0" w:line="300"/>
      </w:pPr>
      <w:r>
        <w:rPr>
          <w:rFonts w:ascii="맑은 고딕" w:cs="맑은 고딕" w:eastAsia="맑은 고딕" w:hAnsi="맑은 고딕"/>
          <w:b/>
          <w:bCs/>
          <w:sz w:val="20"/>
          <w:szCs w:val="20"/>
        </w:rPr>
        <w:t xml:space="preserve">확인 실패 (C) — </w:t>
      </w:r>
      <w:r>
        <w:rPr>
          <w:rFonts w:ascii="맑은 고딕" w:cs="맑은 고딕" w:eastAsia="맑은 고딕" w:hAnsi="맑은 고딕"/>
          <w:sz w:val="20"/>
          <w:szCs w:val="20"/>
        </w:rPr>
        <w:t xml:space="preserve">오피스 FM 위탁계약의 표준 기간. 「통상 1~3년, 일반적으로 2~3년」이라는 언급은 있으나 출처가 공동주택 맥락이거나 Q&amp;A 사이트입니다. 상업용 오피스 FM 위탁의 신뢰할 만한 근거를 확보하지 못했습니다. 5건 중 가장 약한 항목입니다.</w:t>
      </w:r>
    </w:p>
    <w:p>
      <w:pPr>
        <w:pBdr>
          <w:left w:val="single" w:color="2E5C8A" w:sz="24" w:space="8"/>
        </w:pBdr>
        <w:shd w:fill="F2F2F2" w:val="clear"/>
        <w:spacing w:after="0" w:before="200"/>
        <w:ind w:left="180" w:right="180"/>
      </w:pPr>
      <w:r>
        <w:rPr>
          <w:rFonts w:ascii="맑은 고딕" w:cs="맑은 고딕" w:eastAsia="맑은 고딕" w:hAnsi="맑은 고딕"/>
          <w:b/>
          <w:bCs/>
          <w:color w:val="2E5C8A"/>
          <w:sz w:val="20"/>
          <w:szCs w:val="20"/>
        </w:rPr>
        <w:t xml:space="preserve">확인된 것 (B) — 그러나 이번 조사에서 가장 중요할 수 있습니다</w:t>
      </w:r>
    </w:p>
    <w:p>
      <w:pPr>
        <w:pBdr>
          <w:left w:val="single" w:color="2E5C8A"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건축물 유지관리(시설) 용역비 원가계산 기준</w:t>
      </w:r>
    </w:p>
    <w:p>
      <w:pPr>
        <w:pBdr>
          <w:left w:val="single" w:color="2E5C8A" w:sz="24" w:space="8"/>
        </w:pBdr>
        <w:shd w:fill="F2F2F2" w:val="clear"/>
        <w:spacing w:after="60" w:before="60" w:line="300"/>
        <w:ind w:left="180" w:right="180"/>
      </w:pPr>
      <w:r>
        <w:rPr>
          <w:rFonts w:ascii="맑은 고딕" w:cs="맑은 고딕" w:eastAsia="맑은 고딕" w:hAnsi="맑은 고딕"/>
          <w:color w:val="333333"/>
          <w:sz w:val="19"/>
          <w:szCs w:val="19"/>
        </w:rPr>
        <w:t xml:space="preserve">일반관리비 = (재료비 + 인건비 + 경비) × 5%</w:t>
      </w:r>
    </w:p>
    <w:p>
      <w:pPr>
        <w:pBdr>
          <w:left w:val="single" w:color="2E5C8A" w:sz="24" w:space="8"/>
        </w:pBdr>
        <w:shd w:fill="F2F2F2" w:val="clear"/>
        <w:spacing w:after="60" w:before="60" w:line="300"/>
        <w:ind w:left="180" w:right="180"/>
      </w:pPr>
      <w:r>
        <w:rPr>
          <w:rFonts w:ascii="맑은 고딕" w:cs="맑은 고딕" w:eastAsia="맑은 고딕" w:hAnsi="맑은 고딕"/>
          <w:color w:val="333333"/>
          <w:sz w:val="19"/>
          <w:szCs w:val="19"/>
        </w:rPr>
        <w:t xml:space="preserve">이윤 = (인건비 + 경비 + 일반관리비) × 10%</w:t>
      </w:r>
    </w:p>
    <w:p>
      <w:pPr>
        <w:pBdr>
          <w:left w:val="single" w:color="2E5C8A"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 FM사의 이윤이 인건비에 비례합니다. 인건비가 줄면 FM사의 매출과 이익이 함께 줄어듭니다.</w:t>
      </w:r>
    </w:p>
    <w:p>
      <w:pPr>
        <w:pBdr>
          <w:left w:val="single" w:color="2E5C8A" w:sz="24" w:space="8"/>
        </w:pBdr>
        <w:shd w:fill="F2F2F2" w:val="clear"/>
        <w:spacing w:after="200" w:before="60" w:line="300"/>
        <w:ind w:left="180" w:right="180"/>
      </w:pPr>
      <w:r>
        <w:rPr>
          <w:rFonts w:ascii="맑은 고딕" w:cs="맑은 고딕" w:eastAsia="맑은 고딕" w:hAnsi="맑은 고딕"/>
          <w:color w:val="333333"/>
          <w:sz w:val="19"/>
          <w:szCs w:val="19"/>
        </w:rPr>
        <w:t xml:space="preserve">※ 출처가 2011년 기준 문서입니다. 현행 여부 확인 필요.</w:t>
      </w:r>
    </w:p>
    <w:p>
      <w:pPr>
        <w:spacing w:after="120" w:before="0" w:line="300"/>
      </w:pPr>
      <w:r>
        <w:rPr>
          <w:rFonts w:ascii="맑은 고딕" w:cs="맑은 고딕" w:eastAsia="맑은 고딕" w:hAnsi="맑은 고딕"/>
          <w:b/>
          <w:bCs/>
          <w:sz w:val="20"/>
          <w:szCs w:val="20"/>
        </w:rPr>
        <w:t xml:space="preserve">함의 1 — </w:t>
      </w:r>
      <w:r>
        <w:rPr>
          <w:rFonts w:ascii="맑은 고딕" w:cs="맑은 고딕" w:eastAsia="맑은 고딕" w:hAnsi="맑은 고딕"/>
          <w:sz w:val="20"/>
          <w:szCs w:val="20"/>
        </w:rPr>
        <w:t xml:space="preserve">P2가 인건비 절감이 아니라 「입찰 수주 경쟁력」을 도입 이유로 든 것이 원가구조로 설명됩니다. 절감은 FM사에게 손해이고 수주는 이득입니다. 시뮬레이션 발언이 우연이 아니라 </w:t>
      </w:r>
      <w:r>
        <w:rPr>
          <w:rFonts w:ascii="맑은 고딕" w:cs="맑은 고딕" w:eastAsia="맑은 고딕" w:hAnsi="맑은 고딕"/>
          <w:b/>
          <w:bCs/>
          <w:sz w:val="20"/>
          <w:szCs w:val="20"/>
        </w:rPr>
        <w:t xml:space="preserve">경제적 필연</w:t>
      </w:r>
      <w:r>
        <w:rPr>
          <w:rFonts w:ascii="맑은 고딕" w:cs="맑은 고딕" w:eastAsia="맑은 고딕" w:hAnsi="맑은 고딕"/>
          <w:sz w:val="20"/>
          <w:szCs w:val="20"/>
        </w:rPr>
        <w:t xml:space="preserve">이었을 가능성이 큽니다.</w:t>
      </w:r>
    </w:p>
    <w:p>
      <w:pPr>
        <w:spacing w:after="120" w:before="0" w:line="300"/>
      </w:pPr>
      <w:r>
        <w:rPr>
          <w:rFonts w:ascii="맑은 고딕" w:cs="맑은 고딕" w:eastAsia="맑은 고딕" w:hAnsi="맑은 고딕"/>
          <w:b/>
          <w:bCs/>
          <w:sz w:val="20"/>
          <w:szCs w:val="20"/>
        </w:rPr>
        <w:t xml:space="preserve">함의 2 — </w:t>
      </w:r>
      <w:r>
        <w:rPr>
          <w:rFonts w:ascii="맑은 고딕" w:cs="맑은 고딕" w:eastAsia="맑은 고딕" w:hAnsi="맑은 고딕"/>
          <w:sz w:val="20"/>
          <w:szCs w:val="20"/>
        </w:rPr>
        <w:t xml:space="preserve">P1(소유주)의 저지 사유 「우리가 CAPEX를 쓰면 절감액은 FM사 이익으로 간다」는 이 산식대로면 </w:t>
      </w:r>
      <w:r>
        <w:rPr>
          <w:rFonts w:ascii="맑은 고딕" w:cs="맑은 고딕" w:eastAsia="맑은 고딕" w:hAnsi="맑은 고딕"/>
          <w:b/>
          <w:bCs/>
          <w:sz w:val="20"/>
          <w:szCs w:val="20"/>
        </w:rPr>
        <w:t xml:space="preserve">틀렸습니다</w:t>
      </w:r>
      <w:r>
        <w:rPr>
          <w:rFonts w:ascii="맑은 고딕" w:cs="맑은 고딕" w:eastAsia="맑은 고딕" w:hAnsi="맑은 고딕"/>
          <w:sz w:val="20"/>
          <w:szCs w:val="20"/>
        </w:rPr>
        <w:t xml:space="preserve">. 인건비가 줄면 FM사 이윤도 줄어듭니다. </w:t>
      </w:r>
      <w:r>
        <w:rPr>
          <w:rFonts w:ascii="맑은 고딕" w:cs="맑은 고딕" w:eastAsia="맑은 고딕" w:hAnsi="맑은 고딕"/>
          <w:b/>
          <w:bCs/>
          <w:sz w:val="20"/>
          <w:szCs w:val="20"/>
        </w:rPr>
        <w:t xml:space="preserve">소유주도 FM사도 절감으로는 이득을 보지 않는 구조</w:t>
      </w:r>
      <w:r>
        <w:rPr>
          <w:rFonts w:ascii="맑은 고딕" w:cs="맑은 고딕" w:eastAsia="맑은 고딕" w:hAnsi="맑은 고딕"/>
          <w:sz w:val="20"/>
          <w:szCs w:val="20"/>
        </w:rPr>
        <w:t xml:space="preserve">이며, 이것이 오피스 데드락의 진짜 정체일 수 있습니다.</w:t>
      </w:r>
    </w:p>
    <w:p>
      <w:pPr>
        <w:spacing w:after="120" w:before="0" w:line="300"/>
      </w:pPr>
      <w:r>
        <w:rPr>
          <w:rFonts w:ascii="맑은 고딕" w:cs="맑은 고딕" w:eastAsia="맑은 고딕" w:hAnsi="맑은 고딕"/>
          <w:b/>
          <w:bCs/>
          <w:sz w:val="20"/>
          <w:szCs w:val="20"/>
        </w:rPr>
        <w:t xml:space="preserve">다음 행동 — </w:t>
      </w:r>
      <w:r>
        <w:rPr>
          <w:rFonts w:ascii="맑은 고딕" w:cs="맑은 고딕" w:eastAsia="맑은 고딕" w:hAnsi="맑은 고딕"/>
          <w:sz w:val="20"/>
          <w:szCs w:val="20"/>
        </w:rPr>
        <w:t xml:space="preserve">인터뷰 #1(FM사 임원)에게 이 원가 산식을 직접 제시하고 반응을 확인하십시오. 이 질문 하나가 H2를 확정하거나 기각할 수 있습니다.</w:t>
      </w:r>
    </w:p>
    <w:p>
      <w:pPr>
        <w:pStyle w:val="Heading2"/>
        <w:spacing w:after="140" w:before="320"/>
      </w:pPr>
      <w:r>
        <w:rPr>
          <w:rFonts w:ascii="맑은 고딕" w:cs="맑은 고딕" w:eastAsia="맑은 고딕" w:hAnsi="맑은 고딕"/>
          <w:b/>
          <w:bCs/>
          <w:color w:val="2E5C8A"/>
          <w:sz w:val="24"/>
          <w:szCs w:val="24"/>
        </w:rPr>
        <w:t xml:space="preserve">항목 5 — 경비·미화 직군 인력난 실태</w:t>
      </w:r>
    </w:p>
    <w:p>
      <w:pPr>
        <w:spacing w:after="120" w:before="0" w:line="300"/>
      </w:pPr>
      <w:r>
        <w:rPr>
          <w:rFonts w:ascii="맑은 고딕" w:cs="맑은 고딕" w:eastAsia="맑은 고딕" w:hAnsi="맑은 고딕"/>
          <w:b/>
          <w:bCs/>
          <w:color w:val="A03030"/>
          <w:sz w:val="20"/>
          <w:szCs w:val="20"/>
        </w:rPr>
        <w:t xml:space="preserve">판정: ⚠ 페르소나의 핵심 전제가 부분 반박되었습니다 (신뢰도 A)</w:t>
      </w:r>
    </w:p>
    <w:p>
      <w:pPr>
        <w:spacing w:after="120" w:before="0" w:line="300"/>
      </w:pPr>
      <w:r>
        <w:rPr>
          <w:rFonts w:ascii="맑은 고딕" w:cs="맑은 고딕" w:eastAsia="맑은 고딕" w:hAnsi="맑은 고딕"/>
          <w:sz w:val="20"/>
          <w:szCs w:val="20"/>
        </w:rPr>
        <w:t xml:space="preserve">경찰청 기준 2025년 12월 경비 인력 현황입니다.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3200"/>
        <w:gridCol w:w="3326"/>
      </w:tblGrid>
      <w:tr>
        <w:trPr>
          <w:tblHeader/>
        </w:trPr>
        <w:tc>
          <w:tcPr>
            <w:tcW w:type="dxa" w:w="2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연령대</w:t>
            </w:r>
          </w:p>
        </w:tc>
        <w:tc>
          <w:tcPr>
            <w:tcW w:type="dxa" w:w="3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인원</w:t>
            </w:r>
          </w:p>
        </w:tc>
        <w:tc>
          <w:tcPr>
            <w:tcW w:type="dxa" w:w="33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전년 대비</w:t>
            </w:r>
          </w:p>
        </w:tc>
      </w:tr>
      <w:tr>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20대</w:t>
            </w:r>
          </w:p>
        </w:tc>
        <w:tc>
          <w:tcPr>
            <w:tcW w:type="dxa" w:w="32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17,395명</w:t>
            </w:r>
          </w:p>
        </w:tc>
        <w:tc>
          <w:tcPr>
            <w:tcW w:type="dxa" w:w="3326"/>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+18.8%</w:t>
            </w:r>
          </w:p>
        </w:tc>
      </w:tr>
      <w:tr>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30대</w:t>
            </w:r>
          </w:p>
        </w:tc>
        <w:tc>
          <w:tcPr>
            <w:tcW w:type="dxa" w:w="32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25,791명</w:t>
            </w:r>
          </w:p>
        </w:tc>
        <w:tc>
          <w:tcPr>
            <w:tcW w:type="dxa" w:w="3326"/>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+10.4%</w:t>
            </w:r>
          </w:p>
        </w:tc>
      </w:tr>
      <w:tr>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60대</w:t>
            </w:r>
          </w:p>
        </w:tc>
        <w:tc>
          <w:tcPr>
            <w:tcW w:type="dxa" w:w="32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79,544명</w:t>
            </w:r>
          </w:p>
        </w:tc>
        <w:tc>
          <w:tcPr>
            <w:tcW w:type="dxa" w:w="3326"/>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+10.8%</w:t>
            </w:r>
          </w:p>
        </w:tc>
      </w:tr>
      <w:tr>
        <w:tc>
          <w:tcPr>
            <w:tcW w:type="dxa" w:w="2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70대 이상</w:t>
            </w:r>
          </w:p>
        </w:tc>
        <w:tc>
          <w:tcPr>
            <w:tcW w:type="dxa" w:w="3200"/>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51,713명</w:t>
            </w:r>
          </w:p>
        </w:tc>
        <w:tc>
          <w:tcPr>
            <w:tcW w:type="dxa" w:w="3326"/>
            <w:shd w:fill="F5F7FA"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w:t>
            </w:r>
          </w:p>
        </w:tc>
      </w:tr>
      <w:tr>
        <w:tc>
          <w:tcPr>
            <w:tcW w:type="dxa" w:w="2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총계</w:t>
            </w:r>
          </w:p>
        </w:tc>
        <w:tc>
          <w:tcPr>
            <w:tcW w:type="dxa" w:w="3200"/>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213,874명</w:t>
            </w:r>
          </w:p>
        </w:tc>
        <w:tc>
          <w:tcPr>
            <w:tcW w:type="dxa" w:w="3326"/>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sz w:val="18"/>
                <w:szCs w:val="18"/>
              </w:rPr>
              <w:t xml:space="preserve">—</w:t>
            </w:r>
          </w:p>
        </w:tc>
      </w:tr>
    </w:tbl>
    <w:p>
      <w:pPr>
        <w:spacing w:after="120" w:before="0" w:line="300"/>
      </w:pPr>
      <w:r>
        <w:rPr>
          <w:rFonts w:ascii="맑은 고딕" w:cs="맑은 고딕" w:eastAsia="맑은 고딕" w:hAnsi="맑은 고딕"/>
          <w:sz w:val="20"/>
          <w:szCs w:val="20"/>
        </w:rPr>
        <w:t xml:space="preserve">「5년 전 심각한 구인난을 겪던 대형병원 경비 등의 직무에 이제는 20~30대 지원자가 많다」는 서술이 확인됩니다. 은퇴 후 일자리로 인식되던 경비직에 20~30대 대졸자 지원이 늘고 있습니다.</w:t>
      </w:r>
    </w:p>
    <w:p>
      <w:pPr>
        <w:spacing w:after="120" w:before="0" w:line="300"/>
      </w:pPr>
      <w:r>
        <w:rPr>
          <w:rFonts w:ascii="맑은 고딕" w:cs="맑은 고딕" w:eastAsia="맑은 고딕" w:hAnsi="맑은 고딕"/>
          <w:b/>
          <w:bCs/>
          <w:sz w:val="20"/>
          <w:szCs w:val="20"/>
        </w:rPr>
        <w:t xml:space="preserve">P2의 「지원자가 없어요. 돈 문제가 아니라 지원자가 없습니다」와 B1의 「인력난」은 전체 지표로는 뒷받침되지 않습니다.</w:t>
      </w:r>
      <w:r>
        <w:rPr>
          <w:rFonts w:ascii="맑은 고딕" w:cs="맑은 고딕" w:eastAsia="맑은 고딕" w:hAnsi="맑은 고딕"/>
          <w:sz w:val="20"/>
          <w:szCs w:val="20"/>
        </w:rPr>
        <w:t xml:space="preserve"> 다만 60대 이상이 131,257명으로 전체의 약 61%라 고령 편중은 여전합니다. 특정 시간대(야간)·지역·업무 유형에서는 부족할 수 있으나 이 조사로는 확인하지 못했습니다.</w:t>
      </w:r>
    </w:p>
    <w:p>
      <w:pPr>
        <w:pStyle w:val="Heading3"/>
        <w:spacing w:after="100" w:before="240"/>
      </w:pPr>
      <w:r>
        <w:rPr>
          <w:rFonts w:ascii="맑은 고딕" w:cs="맑은 고딕" w:eastAsia="맑은 고딕" w:hAnsi="맑은 고딕"/>
          <w:b/>
          <w:bCs/>
          <w:color w:val="000000"/>
          <w:sz w:val="21"/>
          <w:szCs w:val="21"/>
        </w:rPr>
        <w:t xml:space="preserve">통증의 정체가 다릅니다</w:t>
      </w:r>
    </w:p>
    <w:p>
      <w:pPr>
        <w:spacing w:after="120" w:before="0" w:line="300"/>
      </w:pPr>
      <w:r>
        <w:rPr>
          <w:rFonts w:ascii="맑은 고딕" w:cs="맑은 고딕" w:eastAsia="맑은 고딕" w:hAnsi="맑은 고딕"/>
          <w:sz w:val="20"/>
          <w:szCs w:val="20"/>
        </w:rPr>
        <w:t xml:space="preserve">업계 서술: 「임금 상승과 4대보험·산업안전·중대재해처벌법·채용 및 교육 비용 등 간접비가 누적되면서 로봇 도입이 선택이 아닌 필수 대안으로 인식되고 있다.」</w:t>
      </w:r>
    </w:p>
    <w:p>
      <w:pPr>
        <w:spacing w:after="120" w:before="0" w:line="300"/>
      </w:pPr>
      <w:r>
        <w:rPr>
          <w:rFonts w:ascii="맑은 고딕" w:cs="맑은 고딕" w:eastAsia="맑은 고딕" w:hAnsi="맑은 고딕"/>
          <w:b/>
          <w:bCs/>
          <w:sz w:val="20"/>
          <w:szCs w:val="20"/>
        </w:rPr>
        <w:t xml:space="preserve">「사람이 없다」가 아니라 「사람이 비싸지고 딸려오는 리스크가 커졌다」입니다. </w:t>
      </w:r>
      <w:r>
        <w:rPr>
          <w:rFonts w:ascii="맑은 고딕" w:cs="맑은 고딕" w:eastAsia="맑은 고딕" w:hAnsi="맑은 고딕"/>
          <w:sz w:val="20"/>
          <w:szCs w:val="20"/>
        </w:rPr>
        <w:t xml:space="preserve">세일즈 논리가 달라져야 합니다.</w:t>
      </w:r>
    </w:p>
    <w:p>
      <w:pPr>
        <w:pStyle w:val="Heading3"/>
        <w:spacing w:after="100" w:before="240"/>
      </w:pPr>
      <w:r>
        <w:rPr>
          <w:rFonts w:ascii="맑은 고딕" w:cs="맑은 고딕" w:eastAsia="맑은 고딕" w:hAnsi="맑은 고딕"/>
          <w:b/>
          <w:bCs/>
          <w:color w:val="000000"/>
          <w:sz w:val="21"/>
          <w:szCs w:val="21"/>
        </w:rPr>
        <w:t xml:space="preserve">시장은 이미 역할 재편으로 수렴했습니다</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한국카처의 대기업 청소 사례: "바닥은 로봇·화장실은 사람"</w:t>
      </w:r>
    </w:p>
    <w:p>
      <w:pPr>
        <w:spacing w:after="120" w:before="0" w:line="300"/>
      </w:pPr>
      <w:r>
        <w:rPr>
          <w:rFonts w:ascii="맑은 고딕" w:cs="맑은 고딕" w:eastAsia="맑은 고딕" w:hAnsi="맑은 고딕"/>
          <w:sz w:val="20"/>
          <w:szCs w:val="20"/>
        </w:rPr>
        <w:t xml:space="preserve">로봇이 반복적 바닥 청소를 맡고 사람은 판단이 필요한 시설 관리·위생 점검에 집중하는 work-sharing 운영 모델입니다. 단순 대체가 아닌 역할 재구조화 기반 자동화로 설명됩니다. 한계도 명시되어 있습니다 — 엘리베이터 없이 층간 이동이 잦은 건물은 적용 곤란하며, 전력·유지보수·초기 환경 세팅 등 간접비가 발생합니다.</w:t>
      </w:r>
    </w:p>
    <w:p>
      <w:pPr>
        <w:spacing w:after="120" w:before="0" w:line="300"/>
      </w:pPr>
      <w:r>
        <w:rPr>
          <w:rFonts w:ascii="맑은 고딕" w:cs="맑은 고딕" w:eastAsia="맑은 고딕" w:hAnsi="맑은 고딕"/>
          <w:b/>
          <w:bCs/>
          <w:sz w:val="20"/>
          <w:szCs w:val="20"/>
        </w:rPr>
        <w:t xml:space="preserve">P2의 판단 보류 사유(「로봇이 커버 못 하는 구역 비율을 모르겠다」), B1의 저지 논리(「대체 가능한 건 일부뿐」), P3의 엘리베이터 우려가 전부 시장에서 실증된 제약입니다. 발견 2가 가설이 아니라 실증으로 확인되었습니다.</w:t>
      </w:r>
    </w:p>
    <w:p>
      <w:pPr>
        <w:pStyle w:val="Heading2"/>
        <w:spacing w:after="140" w:before="320"/>
      </w:pPr>
      <w:r>
        <w:rPr>
          <w:rFonts w:ascii="맑은 고딕" w:cs="맑은 고딕" w:eastAsia="맑은 고딕" w:hAnsi="맑은 고딕"/>
          <w:b/>
          <w:bCs/>
          <w:color w:val="2E5C8A"/>
          <w:sz w:val="24"/>
          <w:szCs w:val="24"/>
        </w:rPr>
        <w:t xml:space="preserve">부수 발견 — 로봇 친화형 건축물 인증제 (신뢰도 B)</w:t>
      </w:r>
    </w:p>
    <w:p>
      <w:pPr>
        <w:spacing w:after="120" w:before="0" w:line="300"/>
      </w:pPr>
      <w:r>
        <w:rPr>
          <w:rFonts w:ascii="맑은 고딕" w:cs="맑은 고딕" w:eastAsia="맑은 고딕" w:hAnsi="맑은 고딕"/>
          <w:sz w:val="20"/>
          <w:szCs w:val="20"/>
        </w:rPr>
        <w:t xml:space="preserve">원래 5건에 없었으나 항목 4 조사 중 확인되었고, H6과 P4(물류 개발사) 전략에 직접 관련됩니다.</w:t>
      </w:r>
    </w:p>
    <w:p>
      <w:pPr>
        <w:pStyle w:val="ListParagraph"/>
        <w:numPr>
          <w:ilvl w:val="0"/>
          <w:numId w:val="2"/>
        </w:numPr>
        <w:spacing w:after="80" w:line="300"/>
      </w:pPr>
      <w:r>
        <w:rPr>
          <w:rFonts w:ascii="맑은 고딕" w:cs="맑은 고딕" w:eastAsia="맑은 고딕" w:hAnsi="맑은 고딕"/>
          <w:sz w:val="20"/>
          <w:szCs w:val="20"/>
        </w:rPr>
        <w:t xml:space="preserve">2022년 로봇 친화형 건축물 인증제가 도입되었습니다 (당초 상업용 건축물 대상).</w:t>
      </w:r>
    </w:p>
    <w:p>
      <w:pPr>
        <w:pStyle w:val="ListParagraph"/>
        <w:numPr>
          <w:ilvl w:val="0"/>
          <w:numId w:val="2"/>
        </w:numPr>
        <w:spacing w:after="80" w:line="300"/>
      </w:pPr>
      <w:r>
        <w:rPr>
          <w:rFonts w:ascii="맑은 고딕" w:cs="맑은 고딕" w:eastAsia="맑은 고딕" w:hAnsi="맑은 고딕"/>
          <w:sz w:val="20"/>
          <w:szCs w:val="20"/>
        </w:rPr>
        <w:t xml:space="preserve">국토교통부가 「로봇 친화형 건축물 설계·시공 및 운영·관리 핵심기술 개발」 R&amp;D에 착수했고, 이후 UAM·자율주행차 친화형 건축 기술개발로 확장 예정입니다.</w:t>
      </w:r>
    </w:p>
    <w:p>
      <w:pPr>
        <w:pStyle w:val="ListParagraph"/>
        <w:numPr>
          <w:ilvl w:val="0"/>
          <w:numId w:val="2"/>
        </w:numPr>
        <w:spacing w:after="80" w:line="300"/>
      </w:pPr>
      <w:r>
        <w:rPr>
          <w:rFonts w:ascii="맑은 고딕" w:cs="맑은 고딕" w:eastAsia="맑은 고딕" w:hAnsi="맑은 고딕"/>
          <w:sz w:val="20"/>
          <w:szCs w:val="20"/>
        </w:rPr>
        <w:t xml:space="preserve">공동주택 확대를 위한 인증 지표 연구에서 건축·설비 설계 / 네트워크·시스템 / 건물 운영관리 / 로봇 지원 서비스 4개 영역 총 176점 체계가 개발되었습니다.</w:t>
      </w:r>
    </w:p>
    <w:p>
      <w:pPr>
        <w:pStyle w:val="ListParagraph"/>
        <w:numPr>
          <w:ilvl w:val="0"/>
          <w:numId w:val="2"/>
        </w:numPr>
        <w:spacing w:after="80" w:line="300"/>
      </w:pPr>
      <w:r>
        <w:rPr>
          <w:rFonts w:ascii="맑은 고딕" w:cs="맑은 고딕" w:eastAsia="맑은 고딕" w:hAnsi="맑은 고딕"/>
          <w:sz w:val="20"/>
          <w:szCs w:val="20"/>
        </w:rPr>
        <w:t xml:space="preserve">국회에서 로봇 친화형 건축물 인증 법제화 관련 세미나가 개최되었습니다.</w:t>
      </w:r>
    </w:p>
    <w:p>
      <w:pPr>
        <w:spacing w:after="120" w:before="0" w:line="300"/>
      </w:pPr>
      <w:r>
        <w:rPr>
          <w:rFonts w:ascii="맑은 고딕" w:cs="맑은 고딕" w:eastAsia="맑은 고딕" w:hAnsi="맑은 고딕"/>
          <w:b/>
          <w:bCs/>
          <w:sz w:val="20"/>
          <w:szCs w:val="20"/>
        </w:rPr>
        <w:t xml:space="preserve">H6(「소유주에게는 로봇이 아니라 로봇 레디 스펙을 팔아야 한다」)을 직접 지지합니다. </w:t>
      </w:r>
      <w:r>
        <w:rPr>
          <w:rFonts w:ascii="맑은 고딕" w:cs="맑은 고딕" w:eastAsia="맑은 고딕" w:hAnsi="맑은 고딕"/>
          <w:sz w:val="20"/>
          <w:szCs w:val="20"/>
        </w:rPr>
        <w:t xml:space="preserve">P4가 「신규 임차인이 바닥 평탄도와 전력 용량을 물었고, 스펙이 안 맞아 계약이 무산되어 다음 개발 건부터 설계 스펙을 올렸다」고 한 시나리오에 이미 국가 인증 프레임이 존재합니다. 인증 지표 176점 체계의 세부 항목을 확보하면 개발사·리츠 대상 제안서의 뼈대가 됩니다.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Ⅶ. 검증 가설 10개</w:t>
      </w:r>
    </w:p>
    <w:p>
      <w:pPr>
        <w:spacing w:after="120" w:before="0" w:line="300"/>
      </w:pPr>
      <w:r>
        <w:rPr>
          <w:rFonts w:ascii="맑은 고딕" w:cs="맑은 고딕" w:eastAsia="맑은 고딕" w:hAnsi="맑은 고딕"/>
          <w:sz w:val="20"/>
          <w:szCs w:val="20"/>
        </w:rPr>
        <w:t xml:space="preserve">각 가설은 반증 조건을 포함합니다. 실제 인터뷰 8건에서 기각선을 넘지 못하면 폐기합니다. 아래는 데스크 리서치 반영 후 재조정된 순위입니다.</w:t>
      </w:r>
    </w:p>
    <w:p>
      <w:pPr>
        <w:pStyle w:val="Heading2"/>
        <w:spacing w:after="140" w:before="320"/>
      </w:pPr>
      <w:r>
        <w:rPr>
          <w:rFonts w:ascii="맑은 고딕" w:cs="맑은 고딕" w:eastAsia="맑은 고딕" w:hAnsi="맑은 고딕"/>
          <w:b/>
          <w:bCs/>
          <w:color w:val="2E5C8A"/>
          <w:sz w:val="24"/>
          <w:szCs w:val="24"/>
        </w:rPr>
        <w:t xml:space="preserve">우선순위 재조정 결과</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1200"/>
        <w:gridCol w:w="1700"/>
        <w:gridCol w:w="3326"/>
      </w:tblGrid>
      <w:tr>
        <w:trPr>
          <w:tblHeader/>
        </w:trPr>
        <w:tc>
          <w:tcPr>
            <w:tcW w:type="dxa" w:w="2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가설</w:t>
            </w:r>
          </w:p>
        </w:tc>
        <w:tc>
          <w:tcPr>
            <w:tcW w:type="dxa" w:w="1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조사 전</w:t>
            </w:r>
          </w:p>
        </w:tc>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조사 후</w:t>
            </w:r>
          </w:p>
        </w:tc>
        <w:tc>
          <w:tcPr>
            <w:tcW w:type="dxa" w:w="33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근거</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H2 입찰 수주 경쟁력이 진짜 동인</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최우선</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FM 원가 산식상 인건비 절감은 FM사 이익을 줄임</w:t>
            </w:r>
          </w:p>
        </w:tc>
      </w:tr>
      <w:tr>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H3 RaaS = 구매 심사 우회</w:t>
            </w:r>
          </w:p>
        </w:tc>
        <w:tc>
          <w:tcPr>
            <w:tcW w:type="dxa" w:w="1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근거 확보</w:t>
            </w:r>
          </w:p>
        </w:tc>
        <w:tc>
          <w:tcPr>
            <w:tcW w:type="dxa" w:w="3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조달청 카탈로그 임대 계약(90.9억·5년)</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 안전 예산이 최단 경로</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단서 추가</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산안비 100% 계상. 단 50인 미만 대상</w:t>
            </w:r>
          </w:p>
        </w:tc>
      </w:tr>
      <w:tr>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H6 소유주는 붙박이 인프라만 구매</w:t>
            </w:r>
          </w:p>
        </w:tc>
        <w:tc>
          <w:tcPr>
            <w:tcW w:type="dxa" w:w="1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승격</w:t>
            </w:r>
          </w:p>
        </w:tc>
        <w:tc>
          <w:tcPr>
            <w:tcW w:type="dxa" w:w="3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친화형 건축물 인증제 존재</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H8 법적 증빙</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성격 변경</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면책 없음. 「실시간 감지 &gt; 단순 CCTV」 프레임</w:t>
            </w:r>
          </w:p>
        </w:tc>
      </w:tr>
      <w:tr>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H10 「N명 대체」 산식 부결</w:t>
            </w:r>
          </w:p>
        </w:tc>
        <w:tc>
          <w:tcPr>
            <w:tcW w:type="dxa" w:w="1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승격</w:t>
            </w:r>
          </w:p>
        </w:tc>
        <w:tc>
          <w:tcPr>
            <w:tcW w:type="dxa" w:w="3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「바닥은 로봇·화장실은 사람」 — 시장 실증</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H4 물류는 탄력 대수 계약</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변동 없음</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데스크 리서치로 확인 불가</w:t>
            </w:r>
          </w:p>
        </w:tc>
      </w:tr>
      <w:tr>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H5 3PL에서 피킹 로봇 불가</w:t>
            </w:r>
          </w:p>
        </w:tc>
        <w:tc>
          <w:tcPr>
            <w:tcW w:type="dxa" w:w="1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변동 없음</w:t>
            </w:r>
          </w:p>
        </w:tc>
        <w:tc>
          <w:tcPr>
            <w:tcW w:type="dxa" w:w="3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동일</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H7 DC 원격관제는 감점</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변동 없음</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동일</w:t>
            </w:r>
          </w:p>
        </w:tc>
      </w:tr>
      <w:tr>
        <w:tc>
          <w:tcPr>
            <w:tcW w:type="dxa" w:w="2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H9 오탐률이 공통 게이트</w:t>
            </w:r>
          </w:p>
        </w:tc>
        <w:tc>
          <w:tcPr>
            <w:tcW w:type="dxa" w:w="1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변동 없음</w:t>
            </w:r>
          </w:p>
        </w:tc>
        <w:tc>
          <w:tcPr>
            <w:tcW w:type="dxa" w:w="33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동일</w:t>
            </w:r>
          </w:p>
        </w:tc>
      </w:tr>
      <w:tr>
        <w:tc>
          <w:tcPr>
            <w:tcW w:type="dxa" w:w="2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경비업법 봉쇄</w:t>
            </w:r>
          </w:p>
        </w:tc>
        <w:tc>
          <w:tcPr>
            <w:tcW w:type="dxa" w:w="1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1순위 확인 항목</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하향</w:t>
            </w:r>
          </w:p>
        </w:tc>
        <w:tc>
          <w:tcPr>
            <w:tcW w:type="dxa" w:w="33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확증 실패. 유권해석 질의로 전환</w:t>
            </w:r>
          </w:p>
        </w:tc>
      </w:tr>
    </w:tbl>
    <w:p>
      <w:pPr>
        <w:pStyle w:val="Heading2"/>
        <w:spacing w:after="140" w:before="320"/>
      </w:pPr>
      <w:r>
        <w:rPr>
          <w:rFonts w:ascii="맑은 고딕" w:cs="맑은 고딕" w:eastAsia="맑은 고딕" w:hAnsi="맑은 고딕"/>
          <w:b/>
          <w:bCs/>
          <w:color w:val="2E5C8A"/>
          <w:sz w:val="24"/>
          <w:szCs w:val="24"/>
        </w:rPr>
        <w:t xml:space="preserve">가설별 반증 조건</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600"/>
        <w:gridCol w:w="3200"/>
        <w:gridCol w:w="27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ID</w:t>
            </w:r>
          </w:p>
        </w:tc>
        <w:tc>
          <w:tcPr>
            <w:tcW w:type="dxa" w:w="26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가설</w:t>
            </w:r>
          </w:p>
        </w:tc>
        <w:tc>
          <w:tcPr>
            <w:tcW w:type="dxa" w:w="3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반증 조건 (이러면 기각)</w:t>
            </w:r>
          </w:p>
        </w:tc>
        <w:tc>
          <w:tcPr>
            <w:tcW w:type="dxa" w:w="27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6"/>
                <w:szCs w:val="16"/>
              </w:rPr>
              <w:t xml:space="preserve">검증 대상</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H1</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안전보건 예산은 회수기간 심사와 ROI 산출을 요구하지 않으므로, 안전 예산 경로가 설비투자 경로보다 승인 기간이 짧다</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제조 인터뷰 대상 과반이 "안전 예산도 회수기간을 본다"고 답하면 기각</w:t>
            </w:r>
          </w:p>
        </w:tc>
        <w:tc>
          <w:tcPr>
            <w:tcW w:type="dxa" w:w="2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EHS 팀장 2명(필수), 생산기술 1명</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H2</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FM사·도급사는 인건비 절감이 아니라 입찰 경쟁에서 이기기 위해 구매한다. 따라서 구매 시점이 입찰 시즌에 몰린다</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FM사·도급사 과반이 "입찰 제안서에 로봇을 넣은 적 없고 계획도 없다"고 답하면 기각</w:t>
            </w:r>
          </w:p>
        </w:tc>
        <w:tc>
          <w:tcPr>
            <w:tcW w:type="dxa" w:w="2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FM사 임원 2명, 도급사 대표 1명</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H3</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구독의 실제 가치는 초기 비용이 아니라 CAPEX 심의를 타지 않는 것이다</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구매·재무 담당 과반이 "월 서비스료도 동일한 심사를 받는다"고 답하면 기각</w:t>
            </w:r>
          </w:p>
        </w:tc>
        <w:tc>
          <w:tcPr>
            <w:tcW w:type="dxa" w:w="2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구매팀 2명(필수), 재무 1명</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H4</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3PL은 월 단위 증차·감차가 가능하면 피크 기간에 상시 단가의 2배 이상 지불할 의사가 있다</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3PL 센터장 과반이 "피크에 로봇을 더 들일 생각 없다" 또는 프리미엄 지불 불가라고 답하면 기각</w:t>
            </w:r>
          </w:p>
        </w:tc>
        <w:tc>
          <w:tcPr>
            <w:tcW w:type="dxa" w:w="2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3PL 센터장 2명</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H5</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피킹 로봇은 화주 자체 운영 센터에서만 판매 가능하다</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3PL 센터장 중 1명이라도 피킹 로봇 도입을 실제 검토·집행한 이력이 있으면 재검토</w:t>
            </w:r>
          </w:p>
        </w:tc>
        <w:tc>
          <w:tcPr>
            <w:tcW w:type="dxa" w:w="2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3PL 2명, 화주 1명</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H6</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리츠·개발사는 감정평가·임대경쟁력에 반영되는 항목만 구매한다</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리츠·개발사 과반이 "이동형 로봇도 자산 계상해 구매 가능"이라고 답하면 기각</w:t>
            </w:r>
          </w:p>
        </w:tc>
        <w:tc>
          <w:tcPr>
            <w:tcW w:type="dxa" w:w="2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리츠 AM 1명, 물류 개발사 1명</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H7</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DC는 폐쇄망 운영을 요구하며 원격 접속·클라우드 연동은 감점 요인이다</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DC 운영 담당 과반이 "공급사 원격 유지보수를 허용한다"고 답하면 기각</w:t>
            </w:r>
          </w:p>
        </w:tc>
        <w:tc>
          <w:tcPr>
            <w:tcW w:type="dxa" w:w="2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DC 운영 총괄 1명, 보안 책임자 1명(필수)</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H8</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로봇 생성 기록이 법적 증빙으로 인정되면 도입 우선순위가 크게 올라간다</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인터뷰 대상 과반이 "증빙 인정 여부는 중요하지 않다"고 답하면 기각</w:t>
            </w:r>
          </w:p>
        </w:tc>
        <w:tc>
          <w:tcPr>
            <w:tcW w:type="dxa" w:w="2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제조 EHS, DC 현장</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H9</w:t>
            </w:r>
          </w:p>
        </w:tc>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감지 계열 서비스의 판단 기준은 정확도가 아니라 오탐 빈도이며, 주 1회를 넘으면 도입이 실패한다</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인터뷰 대상 과반이 구체적 오탐 허용 기준을 제시하지 못하면 중요도 하향</w:t>
            </w:r>
          </w:p>
        </w:tc>
        <w:tc>
          <w:tcPr>
            <w:tcW w:type="dxa" w:w="2726"/>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전 세그먼트 현장 담당</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H10</w:t>
            </w:r>
          </w:p>
        </w:tc>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인력 감축 기반 ROI 제안은 겸직 구조 때문에 절감액 0으로 판정된다. 「결원 미충원」 산식이면 통과 가능성이 오른다</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생산기술·구매 과반이 "결원 미충원은 절감으로 인정 못 한다"고 답하면 기각</w:t>
            </w:r>
          </w:p>
        </w:tc>
        <w:tc>
          <w:tcPr>
            <w:tcW w:type="dxa" w:w="27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6"/>
                <w:szCs w:val="16"/>
              </w:rPr>
              <w:t xml:space="preserve">생산기술 1명, 구매 2명</w:t>
            </w:r>
          </w:p>
        </w:tc>
      </w:tr>
    </w:tbl>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Ⅷ. 실제 고객 인터뷰 계획</w:t>
      </w:r>
    </w:p>
    <w:p>
      <w:pPr>
        <w:pStyle w:val="Heading2"/>
        <w:spacing w:after="140" w:before="320"/>
      </w:pPr>
      <w:r>
        <w:rPr>
          <w:rFonts w:ascii="맑은 고딕" w:cs="맑은 고딕" w:eastAsia="맑은 고딕" w:hAnsi="맑은 고딕"/>
          <w:b/>
          <w:bCs/>
          <w:color w:val="2E5C8A"/>
          <w:sz w:val="24"/>
          <w:szCs w:val="24"/>
        </w:rPr>
        <w:t xml:space="preserve">1. 대상 설계 8건</w:t>
      </w:r>
    </w:p>
    <w:p>
      <w:pPr>
        <w:pBdr>
          <w:left w:val="single" w:color="2E5C8A" w:sz="24" w:space="8"/>
        </w:pBdr>
        <w:shd w:fill="F2F2F2" w:val="clear"/>
        <w:spacing w:after="0" w:before="200"/>
        <w:ind w:left="180" w:right="180"/>
      </w:pPr>
      <w:r>
        <w:rPr>
          <w:rFonts w:ascii="맑은 고딕" w:cs="맑은 고딕" w:eastAsia="맑은 고딕" w:hAnsi="맑은 고딕"/>
          <w:b/>
          <w:bCs/>
          <w:color w:val="2E5C8A"/>
          <w:sz w:val="20"/>
          <w:szCs w:val="20"/>
        </w:rPr>
        <w:t xml:space="preserve">절대 원칙</w:t>
      </w:r>
    </w:p>
    <w:p>
      <w:pPr>
        <w:pBdr>
          <w:left w:val="single" w:color="2E5C8A"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8명 중 최소 4명은 예산 집행자여야 합니다.</w:t>
      </w:r>
    </w:p>
    <w:p>
      <w:pPr>
        <w:pBdr>
          <w:left w:val="single" w:color="2E5C8A" w:sz="24" w:space="8"/>
        </w:pBdr>
        <w:shd w:fill="F2F2F2" w:val="clear"/>
        <w:spacing w:after="200" w:before="60" w:line="300"/>
        <w:ind w:left="180" w:right="180"/>
      </w:pPr>
      <w:r>
        <w:rPr>
          <w:rFonts w:ascii="맑은 고딕" w:cs="맑은 고딕" w:eastAsia="맑은 고딕" w:hAnsi="맑은 고딕"/>
          <w:color w:val="333333"/>
          <w:sz w:val="19"/>
          <w:szCs w:val="19"/>
        </w:rPr>
        <w:t xml:space="preserve">소유주만 8명 만나면 "관심은 있는데 우리가 살 건 아니다"를 여덟 번 듣게 됩니다.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2400"/>
        <w:gridCol w:w="1700"/>
        <w:gridCol w:w="1900"/>
        <w:gridCol w:w="25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w:t>
            </w:r>
          </w:p>
        </w:tc>
        <w:tc>
          <w:tcPr>
            <w:tcW w:type="dxa" w:w="2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대상</w:t>
            </w:r>
          </w:p>
        </w:tc>
        <w:tc>
          <w:tcPr>
            <w:tcW w:type="dxa" w:w="17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세그먼트</w:t>
            </w:r>
          </w:p>
        </w:tc>
        <w:tc>
          <w:tcPr>
            <w:tcW w:type="dxa" w:w="19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유형</w:t>
            </w:r>
          </w:p>
        </w:tc>
        <w:tc>
          <w:tcPr>
            <w:tcW w:type="dxa" w:w="25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8"/>
                <w:szCs w:val="18"/>
              </w:rPr>
              <w:t xml:space="preserve">검증 가설</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1</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FM사 운영 임원</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예산 집행자</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H2, H3</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2</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리츠/자산운용 AM</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오피스</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소유측</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H6, S3 외벽 통로</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3</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3PL 센터장</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예산 집행자</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H4, H5</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4</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화주 SCM 임원</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물류</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수요측</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H5, 지불주체 공백</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5</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 운영 총괄</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데이터센터</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예산 집행자</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H7, H9</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6</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DC 보안 책임자</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데이터센터</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거부권자</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H7, H8</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7</w:t>
            </w:r>
          </w:p>
        </w:tc>
        <w:tc>
          <w:tcPr>
            <w:tcW w:type="dxa" w:w="2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 EHS 팀장</w:t>
            </w:r>
          </w:p>
        </w:tc>
        <w:tc>
          <w:tcPr>
            <w:tcW w:type="dxa" w:w="17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w:t>
            </w:r>
          </w:p>
        </w:tc>
        <w:tc>
          <w:tcPr>
            <w:tcW w:type="dxa" w:w="1900"/>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예산 집행자</w:t>
            </w:r>
          </w:p>
        </w:tc>
        <w:tc>
          <w:tcPr>
            <w:tcW w:type="dxa" w:w="2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H1, H8, H9</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8</w:t>
            </w:r>
          </w:p>
        </w:tc>
        <w:tc>
          <w:tcPr>
            <w:tcW w:type="dxa" w:w="2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 생산기술/구매</w:t>
            </w:r>
          </w:p>
        </w:tc>
        <w:tc>
          <w:tcPr>
            <w:tcW w:type="dxa" w:w="17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제조</w:t>
            </w:r>
          </w:p>
        </w:tc>
        <w:tc>
          <w:tcPr>
            <w:tcW w:type="dxa" w:w="19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거부권자</w:t>
            </w:r>
          </w:p>
        </w:tc>
        <w:tc>
          <w:tcPr>
            <w:tcW w:type="dxa" w:w="2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8"/>
                <w:szCs w:val="18"/>
              </w:rPr>
              <w:t xml:space="preserve">H3, H10</w:t>
            </w:r>
          </w:p>
        </w:tc>
      </w:tr>
    </w:tbl>
    <w:p>
      <w:pPr>
        <w:spacing w:after="120" w:before="0" w:line="300"/>
      </w:pPr>
      <w:r>
        <w:rPr>
          <w:rFonts w:ascii="맑은 고딕" w:cs="맑은 고딕" w:eastAsia="맑은 고딕" w:hAnsi="맑은 고딕"/>
          <w:b/>
          <w:bCs/>
          <w:sz w:val="20"/>
          <w:szCs w:val="20"/>
        </w:rPr>
        <w:t xml:space="preserve">추가 권장 — </w:t>
      </w:r>
      <w:r>
        <w:rPr>
          <w:rFonts w:ascii="맑은 고딕" w:cs="맑은 고딕" w:eastAsia="맑은 고딕" w:hAnsi="맑은 고딕"/>
          <w:sz w:val="20"/>
          <w:szCs w:val="20"/>
        </w:rPr>
        <w:t xml:space="preserve">경비·미화 도급사 대표 1명. 시뮬레이션에서 가장 예상 밖의 결과(적 → 채널 전환 의사)가 나온 대상이며 H2를 강화합니다.</w:t>
      </w:r>
    </w:p>
    <w:p>
      <w:pPr>
        <w:pStyle w:val="Heading2"/>
        <w:spacing w:after="140" w:before="320"/>
      </w:pPr>
      <w:r>
        <w:rPr>
          <w:rFonts w:ascii="맑은 고딕" w:cs="맑은 고딕" w:eastAsia="맑은 고딕" w:hAnsi="맑은 고딕"/>
          <w:b/>
          <w:bCs/>
          <w:color w:val="2E5C8A"/>
          <w:sz w:val="24"/>
          <w:szCs w:val="24"/>
        </w:rPr>
        <w:t xml:space="preserve">2. 인터뷰 스크립트 (60분)</w:t>
      </w:r>
    </w:p>
    <w:p>
      <w:pPr>
        <w:pBdr>
          <w:left w:val="single" w:color="A03030" w:sz="24" w:space="8"/>
        </w:pBdr>
        <w:shd w:fill="F2F2F2" w:val="clear"/>
        <w:spacing w:after="0" w:before="200"/>
        <w:ind w:left="180" w:right="180"/>
      </w:pPr>
      <w:r>
        <w:rPr>
          <w:rFonts w:ascii="맑은 고딕" w:cs="맑은 고딕" w:eastAsia="맑은 고딕" w:hAnsi="맑은 고딕"/>
          <w:b/>
          <w:bCs/>
          <w:color w:val="A03030"/>
          <w:sz w:val="20"/>
          <w:szCs w:val="20"/>
        </w:rPr>
        <w:t xml:space="preserve">진행 원칙</w:t>
      </w:r>
    </w:p>
    <w:p>
      <w:pPr>
        <w:pBdr>
          <w:left w:val="single" w:color="A03030" w:sz="24" w:space="8"/>
        </w:pBdr>
        <w:shd w:fill="F2F2F2" w:val="clear"/>
        <w:spacing w:after="60" w:before="60" w:line="300"/>
        <w:ind w:left="180" w:right="180"/>
      </w:pPr>
      <w:r>
        <w:rPr>
          <w:rFonts w:ascii="맑은 고딕" w:cs="맑은 고딕" w:eastAsia="맑은 고딕" w:hAnsi="맑은 고딕"/>
          <w:b/>
          <w:bCs/>
          <w:color w:val="333333"/>
          <w:sz w:val="19"/>
          <w:szCs w:val="19"/>
        </w:rPr>
        <w:t xml:space="preserve">제품 설명은 45분 이후에만 하십시오.</w:t>
      </w:r>
      <w:r>
        <w:rPr>
          <w:rFonts w:ascii="맑은 고딕" w:cs="맑은 고딕" w:eastAsia="맑은 고딕" w:hAnsi="맑은 고딕"/>
          <w:color w:val="333333"/>
          <w:sz w:val="19"/>
          <w:szCs w:val="19"/>
        </w:rPr>
        <w:t xml:space="preserve"> 먼저 설명하면 이후 모든 답변이 그 프레임에 오염됩니다.</w:t>
      </w:r>
    </w:p>
    <w:p>
      <w:pPr>
        <w:pBdr>
          <w:left w:val="single" w:color="A03030" w:sz="24" w:space="8"/>
        </w:pBdr>
        <w:shd w:fill="F2F2F2" w:val="clear"/>
        <w:spacing w:after="200" w:before="60" w:line="300"/>
        <w:ind w:left="180" w:right="180"/>
      </w:pPr>
      <w:r>
        <w:rPr>
          <w:rFonts w:ascii="맑은 고딕" w:cs="맑은 고딕" w:eastAsia="맑은 고딕" w:hAnsi="맑은 고딕"/>
          <w:color w:val="333333"/>
          <w:sz w:val="19"/>
          <w:szCs w:val="19"/>
        </w:rPr>
        <w:t xml:space="preserve">시뮬레이션 프로토콜과 다릅니다. 실제 인터뷰에서는 정량 도구를 줄이고 과거 사실 확인에 시간을 씁니다. 사람은 페르소나와 달리 12개 항목 배분에 집중력을 유지하지 못합니다.</w:t>
      </w:r>
    </w:p>
    <w:p>
      <w:pPr>
        <w:pStyle w:val="Heading3"/>
        <w:spacing w:after="100" w:before="240"/>
      </w:pPr>
      <w:r>
        <w:rPr>
          <w:rFonts w:ascii="맑은 고딕" w:cs="맑은 고딕" w:eastAsia="맑은 고딕" w:hAnsi="맑은 고딕"/>
          <w:b/>
          <w:bCs/>
          <w:color w:val="000000"/>
          <w:sz w:val="21"/>
          <w:szCs w:val="21"/>
        </w:rPr>
        <w:t xml:space="preserve">0~5분 · 도입</w:t>
      </w:r>
    </w:p>
    <w:p>
      <w:pPr>
        <w:pBdr>
          <w:left w:val="single" w:color="2E5C8A" w:sz="18" w:space="10"/>
        </w:pBdr>
        <w:spacing w:after="160" w:before="120" w:line="300"/>
        <w:ind w:left="360" w:right="360"/>
      </w:pPr>
      <w:r>
        <w:rPr>
          <w:rFonts w:ascii="맑은 고딕" w:cs="맑은 고딕" w:eastAsia="맑은 고딕" w:hAnsi="맑은 고딕"/>
          <w:i/>
          <w:iCs/>
          <w:color w:val="333333"/>
          <w:sz w:val="20"/>
          <w:szCs w:val="20"/>
        </w:rPr>
        <w:t xml:space="preserve">"저희는 로봇 서비스를 준비하고 있는데, 오늘은 제품 설명을 하지 않으려고 합니다. 대신 현장에서 실제로 어떻게 일하고 계신지를 여쭙고 싶습니다. 저희 제품에 좋게 말씀해주실 필요가 전혀 없습니다. 오히려 안 될 이유를 많이 들을수록 저희한테 도움이 됩니다."</w:t>
      </w:r>
    </w:p>
    <w:p>
      <w:pPr>
        <w:pStyle w:val="Heading3"/>
        <w:spacing w:after="100" w:before="240"/>
      </w:pPr>
      <w:r>
        <w:rPr>
          <w:rFonts w:ascii="맑은 고딕" w:cs="맑은 고딕" w:eastAsia="맑은 고딕" w:hAnsi="맑은 고딕"/>
          <w:b/>
          <w:bCs/>
          <w:color w:val="000000"/>
          <w:sz w:val="21"/>
          <w:szCs w:val="21"/>
        </w:rPr>
        <w:t xml:space="preserve">5~20분 · 과거 사실 (가장 중요한 구간)</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5300"/>
        <w:gridCol w:w="32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5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질문</w:t>
            </w:r>
          </w:p>
        </w:tc>
        <w:tc>
          <w:tcPr>
            <w:tcW w:type="dxa" w:w="3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이 질문이 잡아내는 것</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작년에 인력이 부족하거나 사람이 하기 어려운 업무 때문에 곤란하셨던 일을 하나만 구체적으로 들려주십시오 (언제·어디서·어떤 업무)</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통증의 실재 여부</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그때 실제로 어떻게 처리하셨습니까? (검토만 한 건 빼고, 실제로 하신 행동만)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"아무것도 안 했다"면 지불로 이어지지 않는 통증</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3</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 처리에 추가 비용이 들었습니까? 어느 예산 항목에서 나갔습니까?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예산 항목명을 반드시 받아 적을 것. 그게 로봇이 경쟁할 예산</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4</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같은 일이 또 생기면 똑같이 하시겠습니까?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대안의 존재 여부</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그런 일이 1년에 몇 번 있습니까?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빈도 → 연간 지출 규모 추정</w:t>
            </w:r>
          </w:p>
        </w:tc>
      </w:tr>
    </w:tbl>
    <w:p>
      <w:pPr>
        <w:pStyle w:val="Heading3"/>
        <w:spacing w:after="100" w:before="240"/>
      </w:pPr>
      <w:r>
        <w:rPr>
          <w:rFonts w:ascii="맑은 고딕" w:cs="맑은 고딕" w:eastAsia="맑은 고딕" w:hAnsi="맑은 고딕"/>
          <w:b/>
          <w:bCs/>
          <w:color w:val="000000"/>
          <w:sz w:val="21"/>
          <w:szCs w:val="21"/>
        </w:rPr>
        <w:t xml:space="preserve">20~30분 · 도입 저지 사유</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5300"/>
        <w:gridCol w:w="32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5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질문</w:t>
            </w:r>
          </w:p>
        </w:tc>
        <w:tc>
          <w:tcPr>
            <w:tcW w:type="dxa" w:w="3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이 질문이 잡아내는 것</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6</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어떤 로봇이든 귀사에 도입하려 하면 무산될 이유를 5개 말씀해 주십시오</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요구사항 명세</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7</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그중 가장 먼저 문제가 될 것은 무엇입니까?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진짜 관문</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8</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각 사유를 실제로 제기할 사람의 직책을 알려주십시오</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의사결정 지도</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9</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(이미 검토·부결된 자동화 건이 있으면) 부결 사유가 무엇이었습니까? 사유서를 볼 수 있겠습니까?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이게 나오면 그날 인터뷰는 성공. 시뮬레이션으로 절대 못 얻는 1차 자료</w:t>
            </w:r>
          </w:p>
        </w:tc>
      </w:tr>
    </w:tbl>
    <w:p>
      <w:pPr>
        <w:pStyle w:val="Heading3"/>
        <w:spacing w:after="100" w:before="240"/>
      </w:pPr>
      <w:r>
        <w:rPr>
          <w:rFonts w:ascii="맑은 고딕" w:cs="맑은 고딕" w:eastAsia="맑은 고딕" w:hAnsi="맑은 고딕"/>
          <w:b/>
          <w:bCs/>
          <w:color w:val="000000"/>
          <w:sz w:val="21"/>
          <w:szCs w:val="21"/>
        </w:rPr>
        <w:t xml:space="preserve">30~40분 · 예산 경로와 심사 기준 (H1·H3·H10 핵심 구간)</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5300"/>
        <w:gridCol w:w="32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5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질문</w:t>
            </w:r>
          </w:p>
        </w:tc>
        <w:tc>
          <w:tcPr>
            <w:tcW w:type="dxa" w:w="3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이 질문이 잡아내는 것</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10</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이런 성격의 투자는 보통 어느 예산에서 집행됩니까?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 검증</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11</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 예산은 회수기간을 몇 년까지 봅니까? (안전·보안 예산이면) 회수기간 심사를 실제로 받습니까?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 검증 핵심</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12</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월 서비스 이용료 형태면 심사 절차가 달라집니까? 어떻게 달라집니까?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H3 검증</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13</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용역 계약이 별도 심사로 넘어가는 연간 금액 기준이 얼마입니까?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RaaS 월 단가의 실질 상한. 답을 안 주면 "대략적인 규모라도" 하고 한 번 더 물을 것</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14</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어떤 업무를 로봇이 가져가면 그 인력을 실제로 줄일 수 있습니까? 겸직은 얼마나 됩니까?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H10 검증</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15</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인력을 못 줄이고 로봇 비용만 추가된다면, 그래도 도입하실 이유가 있습니까?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인터뷰 전체에서 가장 중요한 질문. 여기서 나오는 답이 진짜 구매 동인</w:t>
            </w:r>
          </w:p>
        </w:tc>
      </w:tr>
    </w:tbl>
    <w:p>
      <w:pPr>
        <w:pStyle w:val="Heading3"/>
        <w:spacing w:after="100" w:before="240"/>
      </w:pPr>
      <w:r>
        <w:rPr>
          <w:rFonts w:ascii="맑은 고딕" w:cs="맑은 고딕" w:eastAsia="맑은 고딕" w:hAnsi="맑은 고딕"/>
          <w:b/>
          <w:bCs/>
          <w:color w:val="000000"/>
          <w:sz w:val="21"/>
          <w:szCs w:val="21"/>
        </w:rPr>
        <w:t xml:space="preserve">40~50분 · 서비스 우선순위 (간소화된 정량)</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5300"/>
        <w:gridCol w:w="32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5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질문</w:t>
            </w:r>
          </w:p>
        </w:tc>
        <w:tc>
          <w:tcPr>
            <w:tcW w:type="dxa" w:w="3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비고</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16</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(서비스 12종 카드를 펼치고) 먼저 도입할 3장과 절대 안 할 3장을 골라 주십시오</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12개 배분표는 쓰지 말 것. 카드 3장 뽑기가 더 정확</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17</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절대 안 할 것으로 고르신 이유는?</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"필요 없어서"가 아니라 도입하면 나빠지는 이유를 물을 것</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18</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남은 6장 중 판단이 안 서는 것은? 무엇을 알아야 판단이 되십니까?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이 답이 곧 영업 자료의 목차</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19</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1순위로 고르신 것에 월 얼마까지 쓰실 수 있습니까?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「1대당」인지 「1개소 커버당」인지 반드시 구분</w:t>
            </w:r>
          </w:p>
        </w:tc>
      </w:tr>
    </w:tbl>
    <w:p>
      <w:pPr>
        <w:pStyle w:val="Heading3"/>
        <w:spacing w:after="100" w:before="240"/>
      </w:pPr>
      <w:r>
        <w:rPr>
          <w:rFonts w:ascii="맑은 고딕" w:cs="맑은 고딕" w:eastAsia="맑은 고딕" w:hAnsi="맑은 고딕"/>
          <w:b/>
          <w:bCs/>
          <w:color w:val="000000"/>
          <w:sz w:val="21"/>
          <w:szCs w:val="21"/>
        </w:rPr>
        <w:t xml:space="preserve">50~60분 · 마무리</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5300"/>
        <w:gridCol w:w="32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53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질문</w:t>
            </w:r>
          </w:p>
        </w:tc>
        <w:tc>
          <w:tcPr>
            <w:tcW w:type="dxa" w:w="3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비고</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20</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사내에서 이걸 추진하신다면 가장 먼저 설득해야 할 사람은 누구입니까?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21</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그분이 던질 첫 질문은 무엇이겠습니까?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22</w:t>
            </w:r>
          </w:p>
        </w:tc>
        <w:tc>
          <w:tcPr>
            <w:tcW w:type="dxa" w:w="53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이 주제로 저희가 꼭 만나봐야 할 분이 계십니까? 소개해 주실 수 있겠습니까?</w:t>
            </w:r>
          </w:p>
        </w:tc>
        <w:tc>
          <w:tcPr>
            <w:tcW w:type="dxa" w:w="3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다음 라운드 대상자 확보. 8건이 16건이 됨</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23</w:t>
            </w:r>
          </w:p>
        </w:tc>
        <w:tc>
          <w:tcPr>
            <w:tcW w:type="dxa" w:w="53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(이제서야) 저희가 준비하는 게 이런 것입니다 — 5분 설명 후: "방금 말씀 중에 틀린 부분이 있습니까?"</w:t>
            </w:r>
          </w:p>
        </w:tc>
        <w:tc>
          <w:tcPr>
            <w:tcW w:type="dxa" w:w="3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"어떠세요?"보다 훨씬 정확한 피드백을 줌</w:t>
            </w:r>
          </w:p>
        </w:tc>
      </w:tr>
    </w:tbl>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Ⅸ. 다음 행동</w:t>
      </w:r>
    </w:p>
    <w:p>
      <w:pPr>
        <w:pStyle w:val="Heading2"/>
        <w:spacing w:after="140" w:before="320"/>
      </w:pPr>
      <w:r>
        <w:rPr>
          <w:rFonts w:ascii="맑은 고딕" w:cs="맑은 고딕" w:eastAsia="맑은 고딕" w:hAnsi="맑은 고딕"/>
          <w:b/>
          <w:bCs/>
          <w:color w:val="2E5C8A"/>
          <w:sz w:val="24"/>
          <w:szCs w:val="24"/>
        </w:rPr>
        <w:t xml:space="preserve">1. 우선순위 5건</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3200"/>
        <w:gridCol w:w="3800"/>
        <w:gridCol w:w="1526"/>
      </w:tblGrid>
      <w:tr>
        <w:trPr>
          <w:tblHeader/>
        </w:trPr>
        <w:tc>
          <w:tcPr>
            <w:tcW w:type="dxa" w:w="5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w:t>
            </w:r>
          </w:p>
        </w:tc>
        <w:tc>
          <w:tcPr>
            <w:tcW w:type="dxa" w:w="32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작업</w:t>
            </w:r>
          </w:p>
        </w:tc>
        <w:tc>
          <w:tcPr>
            <w:tcW w:type="dxa" w:w="3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이유</w:t>
            </w:r>
          </w:p>
        </w:tc>
        <w:tc>
          <w:tcPr>
            <w:tcW w:type="dxa" w:w="15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비용·소요</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1</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나라장터에서 순찰로봇 카탈로그 계약 낙찰 결과·등록 단가 확인</w:t>
            </w:r>
          </w:p>
        </w:tc>
        <w:tc>
          <w:tcPr>
            <w:tcW w:type="dxa" w:w="3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유일하게 남은 실측 가격 공백. 조사 시점에 접근이 차단되어 미확인</w:t>
            </w:r>
          </w:p>
        </w:tc>
        <w:tc>
          <w:tcPr>
            <w:tcW w:type="dxa" w:w="1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0원 / 1일</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2</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스마트 안전장비 지정품목 37종의 상세 규격 확보</w:t>
            </w:r>
          </w:p>
        </w:tc>
        <w:tc>
          <w:tcPr>
            <w:tcW w:type="dxa" w:w="3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규격에 맞추면 보조금이 붙은 채로 팔림</w:t>
            </w:r>
          </w:p>
        </w:tc>
        <w:tc>
          <w:tcPr>
            <w:tcW w:type="dxa" w:w="1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0원 / 1주</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3</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법제처·관할 시·도경찰청에 경비업법 서면 질의</w:t>
            </w:r>
          </w:p>
        </w:tc>
        <w:tc>
          <w:tcPr>
            <w:tcW w:type="dxa" w:w="3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회신 공문 자체가 세일즈 자료가 됨</w:t>
            </w:r>
          </w:p>
        </w:tc>
        <w:tc>
          <w:tcPr>
            <w:tcW w:type="dxa" w:w="1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0원 / 2~4주</w:t>
            </w:r>
          </w:p>
        </w:tc>
      </w:tr>
      <w:tr>
        <w:tc>
          <w:tcPr>
            <w:tcW w:type="dxa" w:w="5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4</w:t>
            </w:r>
          </w:p>
        </w:tc>
        <w:tc>
          <w:tcPr>
            <w:tcW w:type="dxa" w:w="32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산업안전보건관리비의 제조업 상시운영 적용 여부 확인</w:t>
            </w:r>
          </w:p>
        </w:tc>
        <w:tc>
          <w:tcPr>
            <w:tcW w:type="dxa" w:w="3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H1의 적용 범위를 결정. 건설현장 세그먼트 판단에도 필요</w:t>
            </w:r>
          </w:p>
        </w:tc>
        <w:tc>
          <w:tcPr>
            <w:tcW w:type="dxa" w:w="15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0원 / 2주</w:t>
            </w:r>
          </w:p>
        </w:tc>
      </w:tr>
      <w:tr>
        <w:tc>
          <w:tcPr>
            <w:tcW w:type="dxa" w:w="5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5</w:t>
            </w:r>
          </w:p>
        </w:tc>
        <w:tc>
          <w:tcPr>
            <w:tcW w:type="dxa" w:w="32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실제 고객 인터뷰 8건 착수</w:t>
            </w:r>
          </w:p>
        </w:tc>
        <w:tc>
          <w:tcPr>
            <w:tcW w:type="dxa" w:w="3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데스크 리서치로는 H4·H5·H7·H9를 확인할 수 없음</w:t>
            </w:r>
          </w:p>
        </w:tc>
        <w:tc>
          <w:tcPr>
            <w:tcW w:type="dxa" w:w="15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섭외 4주</w:t>
            </w:r>
          </w:p>
        </w:tc>
      </w:tr>
    </w:tbl>
    <w:p>
      <w:pPr>
        <w:pStyle w:val="Heading2"/>
        <w:spacing w:after="140" w:before="320"/>
      </w:pPr>
      <w:r>
        <w:rPr>
          <w:rFonts w:ascii="맑은 고딕" w:cs="맑은 고딕" w:eastAsia="맑은 고딕" w:hAnsi="맑은 고딕"/>
          <w:b/>
          <w:bCs/>
          <w:color w:val="2E5C8A"/>
          <w:sz w:val="24"/>
          <w:szCs w:val="24"/>
        </w:rPr>
        <w:t xml:space="preserve">2. 페르소나 카드 수정 지시</w:t>
      </w:r>
    </w:p>
    <w:p>
      <w:pPr>
        <w:spacing w:after="120" w:before="0" w:line="300"/>
      </w:pPr>
      <w:r>
        <w:rPr>
          <w:rFonts w:ascii="맑은 고딕" w:cs="맑은 고딕" w:eastAsia="맑은 고딕" w:hAnsi="맑은 고딕"/>
          <w:sz w:val="20"/>
          <w:szCs w:val="20"/>
        </w:rPr>
        <w:t xml:space="preserve">데스크 리서치 결과를 페르소나에 반영할 때의 지시 사항입니다. 현재 카드에는 아직 반영되지 않았습니다.</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7626"/>
      </w:tblGrid>
      <w:tr>
        <w:trPr>
          <w:tblHeader/>
        </w:trPr>
        <w:tc>
          <w:tcPr>
            <w:tcW w:type="dxa" w:w="1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페르소나</w:t>
            </w:r>
          </w:p>
        </w:tc>
        <w:tc>
          <w:tcPr>
            <w:tcW w:type="dxa" w:w="76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수정 내용</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w:t>
            </w:r>
          </w:p>
        </w:tc>
        <w:tc>
          <w:tcPr>
            <w:tcW w:type="dxa" w:w="7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저지 사유 「절감액이 FM사 이익으로 간다」 삭제 또는 정정 — 원가 산식상 성립하지 않음</w:t>
            </w:r>
          </w:p>
        </w:tc>
      </w:tr>
      <w:tr>
        <w:tc>
          <w:tcPr>
            <w:tcW w:type="dxa" w:w="1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P2</w:t>
            </w:r>
          </w:p>
        </w:tc>
        <w:tc>
          <w:tcPr>
            <w:tcW w:type="dxa" w:w="7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「채용 불가」 → 「인건비 총액·간접비 상승」으로 통증 재정의. 이윤이 인건비에 연동되는 원가 산식 추가</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P4</w:t>
            </w:r>
          </w:p>
        </w:tc>
        <w:tc>
          <w:tcPr>
            <w:tcW w:type="dxa" w:w="7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로봇 친화형 건축물 인증제(2022~, 176점 체계) 근거 추가</w:t>
            </w:r>
          </w:p>
        </w:tc>
      </w:tr>
      <w:tr>
        <w:tc>
          <w:tcPr>
            <w:tcW w:type="dxa" w:w="1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P10</w:t>
            </w:r>
          </w:p>
        </w:tc>
        <w:tc>
          <w:tcPr>
            <w:tcW w:type="dxa" w:w="7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스마트 안전장비 지원사업 대상 아님(50인 미만) 명시. 50인 미만 페르소나 1개 추가 검토</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P11</w:t>
            </w:r>
          </w:p>
        </w:tc>
        <w:tc>
          <w:tcPr>
            <w:tcW w:type="dxa" w:w="7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산안비 100% 계상(2026.1.1~), AI 인체감지 지정품목, 보조 최대 4,000만원 추가</w:t>
            </w:r>
          </w:p>
        </w:tc>
      </w:tr>
      <w:tr>
        <w:tc>
          <w:tcPr>
            <w:tcW w:type="dxa" w:w="1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B1</w:t>
            </w:r>
          </w:p>
        </w:tc>
        <w:tc>
          <w:tcPr>
            <w:tcW w:type="dxa" w:w="76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저지 사유 5번(경비업법)을 근거 미확인으로 하향. 저지 사유 1번(순찰 30%) 상향 — 2026 개정이 겸직 승인</w:t>
            </w:r>
          </w:p>
        </w:tc>
      </w:tr>
      <w:tr>
        <w:tc>
          <w:tcPr>
            <w:tcW w:type="dxa" w:w="1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신규 후보</w:t>
            </w:r>
          </w:p>
        </w:tc>
        <w:tc>
          <w:tcPr>
            <w:tcW w:type="dxa" w:w="76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건설현장 안전관리자 — 산안비 100% 계상의 본래 적용 영역. 4대 세그먼트 밖이나 진입 장벽이 가장 낮음</w:t>
            </w:r>
          </w:p>
        </w:tc>
      </w:tr>
    </w:tbl>
    <w:p>
      <w:pPr>
        <w:pStyle w:val="Heading2"/>
        <w:spacing w:after="140" w:before="320"/>
      </w:pPr>
      <w:r>
        <w:rPr>
          <w:rFonts w:ascii="맑은 고딕" w:cs="맑은 고딕" w:eastAsia="맑은 고딕" w:hAnsi="맑은 고딕"/>
          <w:b/>
          <w:bCs/>
          <w:color w:val="2E5C8A"/>
          <w:sz w:val="24"/>
          <w:szCs w:val="24"/>
        </w:rPr>
        <w:t xml:space="preserve">3. 현재 상태에서 말할 수 있는 것과 없는 것</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7226"/>
      </w:tblGrid>
      <w:tr>
        <w:trPr>
          <w:tblHeader/>
        </w:trPr>
        <w:tc>
          <w:tcPr>
            <w:tcW w:type="dxa" w:w="18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구분</w:t>
            </w:r>
          </w:p>
        </w:tc>
        <w:tc>
          <w:tcPr>
            <w:tcW w:type="dxa" w:w="72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내용</w:t>
            </w:r>
          </w:p>
        </w:tc>
      </w:tr>
      <w:tr>
        <w:tc>
          <w:tcPr>
            <w:tcW w:type="dxa" w:w="18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말할 수 있는 것</w:t>
            </w:r>
          </w:p>
        </w:tc>
        <w:tc>
          <w:tcPr>
            <w:tcW w:type="dxa" w:w="72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4개 세그먼트의 소유·운영 구조가 다르고 그것이 지불 주체를 결정한다 / 예산 경로에 따라 심사 기준이 다르다 / 계약 구조 선호가 세그먼트별로 갈린다 / 거부권자의 저지 사유는 요구사항 명세로 전환 가능하다 / Ⅵ장의 데스크 리서치 확인 사항(신뢰도 A·B)</w:t>
            </w:r>
          </w:p>
        </w:tc>
      </w:tr>
      <w:tr>
        <w:tc>
          <w:tcPr>
            <w:tcW w:type="dxa" w:w="18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말할 수 없는 것</w:t>
            </w:r>
          </w:p>
        </w:tc>
        <w:tc>
          <w:tcPr>
            <w:tcW w:type="dxa" w:w="72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 표시된 모든 금액 — WTP·인건비·회수기간은 전부 모델 생성치 / 시장 규모 — 이 조사는 니즈 구조를 보는 것이지 크기를 재는 게 아님 / 서비스별 절대 우선순위 — 예산 매트릭스는 12개 가상 응답의 합이지 시장 점유가 아님 / 경쟁 상황 — 조사 범위 밖</w:t>
            </w:r>
          </w:p>
        </w:tc>
      </w:tr>
    </w:tbl>
    <w:p>
      <w:pPr>
        <w:spacing w:after="120" w:before="160" w:line="300"/>
      </w:pPr>
      <w:r>
        <w:rPr>
          <w:rFonts w:ascii="맑은 고딕" w:cs="맑은 고딕" w:eastAsia="맑은 고딕" w:hAnsi="맑은 고딕"/>
          <w:b/>
          <w:bCs/>
          <w:sz w:val="20"/>
          <w:szCs w:val="20"/>
        </w:rPr>
        <w:t xml:space="preserve">이 조사의 산출물은 Ⅶ장의 가설 10개와 Ⅷ장의 인터뷰 스크립트입니다. 그 외는 전부 중간 산물입니다.</w:t>
      </w:r>
    </w:p>
    <w:p>
      <w:r>
        <w:br w:type="page"/>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부록 A. 참고 자료</w:t>
      </w:r>
    </w:p>
    <w:p>
      <w:pPr>
        <w:spacing w:after="120" w:before="0" w:line="300"/>
      </w:pPr>
      <w:r>
        <w:rPr>
          <w:rFonts w:ascii="맑은 고딕" w:cs="맑은 고딕" w:eastAsia="맑은 고딕" w:hAnsi="맑은 고딕"/>
          <w:sz w:val="20"/>
          <w:szCs w:val="20"/>
        </w:rPr>
        <w:t xml:space="preserve">Ⅵ장 데스크 리서치의 근거 자료입니다. 조사 시점에 원문 직접 열람이 차단되어 검색 결과 기반으로 확인했습니다.</w:t>
      </w:r>
    </w:p>
    <w:p>
      <w:pPr>
        <w:pStyle w:val="Heading3"/>
        <w:spacing w:after="100" w:before="240"/>
      </w:pPr>
      <w:r>
        <w:rPr>
          <w:rFonts w:ascii="맑은 고딕" w:cs="맑은 고딕" w:eastAsia="맑은 고딕" w:hAnsi="맑은 고딕"/>
          <w:b/>
          <w:bCs/>
          <w:color w:val="000000"/>
          <w:sz w:val="21"/>
          <w:szCs w:val="21"/>
        </w:rPr>
        <w:t xml:space="preserve">항목 1 · 경비업법</w:t>
      </w:r>
    </w:p>
    <w:p>
      <w:pPr>
        <w:pStyle w:val="ListParagraph"/>
        <w:numPr>
          <w:ilvl w:val="0"/>
          <w:numId w:val="2"/>
        </w:numPr>
        <w:spacing w:after="80" w:line="300"/>
      </w:pPr>
      <w:r>
        <w:rPr>
          <w:rFonts w:ascii="맑은 고딕" w:cs="맑은 고딕" w:eastAsia="맑은 고딕" w:hAnsi="맑은 고딕"/>
          <w:sz w:val="20"/>
          <w:szCs w:val="20"/>
        </w:rPr>
        <w:t xml:space="preserve">경비업법 / 경비업법 시행령 (국가법령정보센터) — law.go.kr</w:t>
      </w:r>
    </w:p>
    <w:p>
      <w:pPr>
        <w:pStyle w:val="ListParagraph"/>
        <w:numPr>
          <w:ilvl w:val="0"/>
          <w:numId w:val="2"/>
        </w:numPr>
        <w:spacing w:after="80" w:line="300"/>
      </w:pPr>
      <w:r>
        <w:rPr>
          <w:rFonts w:ascii="맑은 고딕" w:cs="맑은 고딕" w:eastAsia="맑은 고딕" w:hAnsi="맑은 고딕"/>
          <w:sz w:val="20"/>
          <w:szCs w:val="20"/>
        </w:rPr>
        <w:t xml:space="preserve">경비업 개요 (찾기쉬운 생활법령정보) — easylaw.go.kr</w:t>
      </w:r>
    </w:p>
    <w:p>
      <w:pPr>
        <w:pStyle w:val="ListParagraph"/>
        <w:numPr>
          <w:ilvl w:val="0"/>
          <w:numId w:val="2"/>
        </w:numPr>
        <w:spacing w:after="80" w:line="300"/>
      </w:pPr>
      <w:r>
        <w:rPr>
          <w:rFonts w:ascii="맑은 고딕" w:cs="맑은 고딕" w:eastAsia="맑은 고딕" w:hAnsi="맑은 고딕"/>
          <w:sz w:val="20"/>
          <w:szCs w:val="20"/>
        </w:rPr>
        <w:t xml:space="preserve">첨단로봇 규제혁신 방안 (산업통상자원부, 2023.3.2) — motie.go.kr</w:t>
      </w:r>
    </w:p>
    <w:p>
      <w:pPr>
        <w:pStyle w:val="ListParagraph"/>
        <w:numPr>
          <w:ilvl w:val="0"/>
          <w:numId w:val="2"/>
        </w:numPr>
        <w:spacing w:after="80" w:line="300"/>
      </w:pPr>
      <w:r>
        <w:rPr>
          <w:rFonts w:ascii="맑은 고딕" w:cs="맑은 고딕" w:eastAsia="맑은 고딕" w:hAnsi="맑은 고딕"/>
          <w:sz w:val="20"/>
          <w:szCs w:val="20"/>
        </w:rPr>
        <w:t xml:space="preserve">산업부, 첨단로봇 규제혁신 방안 마련 (로봇신문) / 로봇산업 규제 풀린다 (정보통신신문)</w:t>
      </w:r>
    </w:p>
    <w:p>
      <w:pPr>
        <w:pStyle w:val="ListParagraph"/>
        <w:numPr>
          <w:ilvl w:val="0"/>
          <w:numId w:val="2"/>
        </w:numPr>
        <w:spacing w:after="80" w:line="300"/>
      </w:pPr>
      <w:r>
        <w:rPr>
          <w:rFonts w:ascii="맑은 고딕" w:cs="맑은 고딕" w:eastAsia="맑은 고딕" w:hAnsi="맑은 고딕"/>
          <w:sz w:val="20"/>
          <w:szCs w:val="20"/>
        </w:rPr>
        <w:t xml:space="preserve">SK쉴더스 자율주행 순찰로봇 실증 (SK쉴더스 뉴스룸) / 실외 로봇 운행이 아직도 규제였다니 (한국경제)</w:t>
      </w:r>
    </w:p>
    <w:p>
      <w:pPr>
        <w:pStyle w:val="ListParagraph"/>
        <w:numPr>
          <w:ilvl w:val="0"/>
          <w:numId w:val="2"/>
        </w:numPr>
        <w:spacing w:after="80" w:line="300"/>
      </w:pPr>
      <w:r>
        <w:rPr>
          <w:rFonts w:ascii="맑은 고딕" w:cs="맑은 고딕" w:eastAsia="맑은 고딕" w:hAnsi="맑은 고딕"/>
          <w:sz w:val="20"/>
          <w:szCs w:val="20"/>
        </w:rPr>
        <w:t xml:space="preserve">경비업법 및 시행령 개정으로 달라지는 경비원 업무 기준 (전민일보) / 공동주택 경비원 업무범위 명확화 (KDI)</w:t>
      </w:r>
    </w:p>
    <w:p>
      <w:pPr>
        <w:pStyle w:val="ListParagraph"/>
        <w:numPr>
          <w:ilvl w:val="0"/>
          <w:numId w:val="2"/>
        </w:numPr>
        <w:spacing w:after="80" w:line="300"/>
      </w:pPr>
      <w:r>
        <w:rPr>
          <w:rFonts w:ascii="맑은 고딕" w:cs="맑은 고딕" w:eastAsia="맑은 고딕" w:hAnsi="맑은 고딕"/>
          <w:sz w:val="20"/>
          <w:szCs w:val="20"/>
        </w:rPr>
        <w:t xml:space="preserve">무인 순찰 로봇 관련 법제 현황 및 개선 방안 (KCI) / 순찰로봇, 경비인력의 대체일까 보완일까</w:t>
      </w:r>
    </w:p>
    <w:p>
      <w:pPr>
        <w:pStyle w:val="Heading3"/>
        <w:spacing w:after="100" w:before="240"/>
      </w:pPr>
      <w:r>
        <w:rPr>
          <w:rFonts w:ascii="맑은 고딕" w:cs="맑은 고딕" w:eastAsia="맑은 고딕" w:hAnsi="맑은 고딕"/>
          <w:b/>
          <w:bCs/>
          <w:color w:val="000000"/>
          <w:sz w:val="21"/>
          <w:szCs w:val="21"/>
        </w:rPr>
        <w:t xml:space="preserve">항목 2 · 안전 예산·법적 증빙</w:t>
      </w:r>
    </w:p>
    <w:p>
      <w:pPr>
        <w:pStyle w:val="ListParagraph"/>
        <w:numPr>
          <w:ilvl w:val="0"/>
          <w:numId w:val="2"/>
        </w:numPr>
        <w:spacing w:after="80" w:line="300"/>
      </w:pPr>
      <w:r>
        <w:rPr>
          <w:rFonts w:ascii="맑은 고딕" w:cs="맑은 고딕" w:eastAsia="맑은 고딕" w:hAnsi="맑은 고딕"/>
          <w:sz w:val="20"/>
          <w:szCs w:val="20"/>
        </w:rPr>
        <w:t xml:space="preserve">2026년 스마트 안전장비 안전관리비 100% 계상 기준 (카스웍스)</w:t>
      </w:r>
    </w:p>
    <w:p>
      <w:pPr>
        <w:pStyle w:val="ListParagraph"/>
        <w:numPr>
          <w:ilvl w:val="0"/>
          <w:numId w:val="2"/>
        </w:numPr>
        <w:spacing w:after="80" w:line="300"/>
      </w:pPr>
      <w:r>
        <w:rPr>
          <w:rFonts w:ascii="맑은 고딕" w:cs="맑은 고딕" w:eastAsia="맑은 고딕" w:hAnsi="맑은 고딕"/>
          <w:sz w:val="20"/>
          <w:szCs w:val="20"/>
        </w:rPr>
        <w:t xml:space="preserve">스마트 안전장비 관련 규정 (국토교통부)</w:t>
      </w:r>
    </w:p>
    <w:p>
      <w:pPr>
        <w:pStyle w:val="ListParagraph"/>
        <w:numPr>
          <w:ilvl w:val="0"/>
          <w:numId w:val="2"/>
        </w:numPr>
        <w:spacing w:after="80" w:line="300"/>
      </w:pPr>
      <w:r>
        <w:rPr>
          <w:rFonts w:ascii="맑은 고딕" w:cs="맑은 고딕" w:eastAsia="맑은 고딕" w:hAnsi="맑은 고딕"/>
          <w:sz w:val="20"/>
          <w:szCs w:val="20"/>
        </w:rPr>
        <w:t xml:space="preserve">2026년 스마트 안전장비지원 품목 등록 시행계획 공고 (기업마당) / 안전일터 조성지원 (산업안전포털)</w:t>
      </w:r>
    </w:p>
    <w:p>
      <w:pPr>
        <w:pStyle w:val="ListParagraph"/>
        <w:numPr>
          <w:ilvl w:val="0"/>
          <w:numId w:val="2"/>
        </w:numPr>
        <w:spacing w:after="80" w:line="300"/>
      </w:pPr>
      <w:r>
        <w:rPr>
          <w:rFonts w:ascii="맑은 고딕" w:cs="맑은 고딕" w:eastAsia="맑은 고딕" w:hAnsi="맑은 고딕"/>
          <w:sz w:val="20"/>
          <w:szCs w:val="20"/>
        </w:rPr>
        <w:t xml:space="preserve">스마트 안전장비 지원사업 안내 (세이프티퍼스트닷뉴스)</w:t>
      </w:r>
    </w:p>
    <w:p>
      <w:pPr>
        <w:pStyle w:val="ListParagraph"/>
        <w:numPr>
          <w:ilvl w:val="0"/>
          <w:numId w:val="2"/>
        </w:numPr>
        <w:spacing w:after="80" w:line="300"/>
      </w:pPr>
      <w:r>
        <w:rPr>
          <w:rFonts w:ascii="맑은 고딕" w:cs="맑은 고딕" w:eastAsia="맑은 고딕" w:hAnsi="맑은 고딕"/>
          <w:sz w:val="20"/>
          <w:szCs w:val="20"/>
        </w:rPr>
        <w:t xml:space="preserve">중대재해처벌법 (국가법령정보센터) / 중대재해처벌법상 의무이행의 범위 (법무법인 율촌)</w:t>
      </w:r>
    </w:p>
    <w:p>
      <w:pPr>
        <w:pStyle w:val="ListParagraph"/>
        <w:numPr>
          <w:ilvl w:val="0"/>
          <w:numId w:val="2"/>
        </w:numPr>
        <w:spacing w:after="80" w:line="300"/>
      </w:pPr>
      <w:r>
        <w:rPr>
          <w:rFonts w:ascii="맑은 고딕" w:cs="맑은 고딕" w:eastAsia="맑은 고딕" w:hAnsi="맑은 고딕"/>
          <w:sz w:val="20"/>
          <w:szCs w:val="20"/>
        </w:rPr>
        <w:t xml:space="preserve">산업안전보건법 시행규칙 (국가법령정보센터)</w:t>
      </w:r>
    </w:p>
    <w:p>
      <w:pPr>
        <w:pStyle w:val="Heading3"/>
        <w:spacing w:after="100" w:before="240"/>
      </w:pPr>
      <w:r>
        <w:rPr>
          <w:rFonts w:ascii="맑은 고딕" w:cs="맑은 고딕" w:eastAsia="맑은 고딕" w:hAnsi="맑은 고딕"/>
          <w:b/>
          <w:bCs/>
          <w:color w:val="000000"/>
          <w:sz w:val="21"/>
          <w:szCs w:val="21"/>
        </w:rPr>
        <w:t xml:space="preserve">항목 3 · 조달 가격</w:t>
      </w:r>
    </w:p>
    <w:p>
      <w:pPr>
        <w:pStyle w:val="ListParagraph"/>
        <w:numPr>
          <w:ilvl w:val="0"/>
          <w:numId w:val="2"/>
        </w:numPr>
        <w:spacing w:after="80" w:line="300"/>
      </w:pPr>
      <w:r>
        <w:rPr>
          <w:rFonts w:ascii="맑은 고딕" w:cs="맑은 고딕" w:eastAsia="맑은 고딕" w:hAnsi="맑은 고딕"/>
          <w:sz w:val="20"/>
          <w:szCs w:val="20"/>
        </w:rPr>
        <w:t xml:space="preserve">순찰로봇 임대 「총 90억9천만원·5년 장기 공고」 등판 (조달경제신문)</w:t>
      </w:r>
    </w:p>
    <w:p>
      <w:pPr>
        <w:pStyle w:val="ListParagraph"/>
        <w:numPr>
          <w:ilvl w:val="0"/>
          <w:numId w:val="2"/>
        </w:numPr>
        <w:spacing w:after="80" w:line="300"/>
      </w:pPr>
      <w:r>
        <w:rPr>
          <w:rFonts w:ascii="맑은 고딕" w:cs="맑은 고딕" w:eastAsia="맑은 고딕" w:hAnsi="맑은 고딕"/>
          <w:sz w:val="20"/>
          <w:szCs w:val="20"/>
        </w:rPr>
        <w:t xml:space="preserve">조달청, 순찰로봇 임대서비스 입찰 (로봇신문) / 조달청, 고가의 융복합 첨단제품 임대서비스 개시 (헤럴드경제)</w:t>
      </w:r>
    </w:p>
    <w:p>
      <w:pPr>
        <w:pStyle w:val="ListParagraph"/>
        <w:numPr>
          <w:ilvl w:val="0"/>
          <w:numId w:val="2"/>
        </w:numPr>
        <w:spacing w:after="80" w:line="300"/>
      </w:pPr>
      <w:r>
        <w:rPr>
          <w:rFonts w:ascii="맑은 고딕" w:cs="맑은 고딕" w:eastAsia="맑은 고딕" w:hAnsi="맑은 고딕"/>
          <w:sz w:val="20"/>
          <w:szCs w:val="20"/>
        </w:rPr>
        <w:t xml:space="preserve">로봇 렌탈 비용 비교 2026 / 임계점 넘은 청소로봇 (아웃소싱타임스)</w:t>
      </w:r>
    </w:p>
    <w:p>
      <w:pPr>
        <w:pStyle w:val="Heading3"/>
        <w:spacing w:after="100" w:before="240"/>
      </w:pPr>
      <w:r>
        <w:rPr>
          <w:rFonts w:ascii="맑은 고딕" w:cs="맑은 고딕" w:eastAsia="맑은 고딕" w:hAnsi="맑은 고딕"/>
          <w:b/>
          <w:bCs/>
          <w:color w:val="000000"/>
          <w:sz w:val="21"/>
          <w:szCs w:val="21"/>
        </w:rPr>
        <w:t xml:space="preserve">항목 4 · FM 원가 구조</w:t>
      </w:r>
    </w:p>
    <w:p>
      <w:pPr>
        <w:pStyle w:val="ListParagraph"/>
        <w:numPr>
          <w:ilvl w:val="0"/>
          <w:numId w:val="2"/>
        </w:numPr>
        <w:spacing w:after="80" w:line="300"/>
      </w:pPr>
      <w:r>
        <w:rPr>
          <w:rFonts w:ascii="맑은 고딕" w:cs="맑은 고딕" w:eastAsia="맑은 고딕" w:hAnsi="맑은 고딕"/>
          <w:sz w:val="20"/>
          <w:szCs w:val="20"/>
        </w:rPr>
        <w:t xml:space="preserve">건축물 유지관리용역 원가계산 기준 (대한건설협회, 2011)</w:t>
      </w:r>
    </w:p>
    <w:p>
      <w:pPr>
        <w:pStyle w:val="ListParagraph"/>
        <w:numPr>
          <w:ilvl w:val="0"/>
          <w:numId w:val="2"/>
        </w:numPr>
        <w:spacing w:after="80" w:line="300"/>
      </w:pPr>
      <w:r>
        <w:rPr>
          <w:rFonts w:ascii="맑은 고딕" w:cs="맑은 고딕" w:eastAsia="맑은 고딕" w:hAnsi="맑은 고딕"/>
          <w:sz w:val="20"/>
          <w:szCs w:val="20"/>
        </w:rPr>
        <w:t xml:space="preserve">PM과 FM의 개념 / 위탁관리 수수료 구조</w:t>
      </w:r>
    </w:p>
    <w:p>
      <w:pPr>
        <w:pStyle w:val="ListParagraph"/>
        <w:numPr>
          <w:ilvl w:val="0"/>
          <w:numId w:val="2"/>
        </w:numPr>
        <w:spacing w:after="80" w:line="300"/>
      </w:pPr>
      <w:r>
        <w:rPr>
          <w:rFonts w:ascii="맑은 고딕" w:cs="맑은 고딕" w:eastAsia="맑은 고딕" w:hAnsi="맑은 고딕"/>
          <w:sz w:val="20"/>
          <w:szCs w:val="20"/>
        </w:rPr>
        <w:t xml:space="preserve">고양성사리츠 PM·FM 용역 입찰공고</w:t>
      </w:r>
    </w:p>
    <w:p>
      <w:pPr>
        <w:pStyle w:val="Heading3"/>
        <w:spacing w:after="100" w:before="240"/>
      </w:pPr>
      <w:r>
        <w:rPr>
          <w:rFonts w:ascii="맑은 고딕" w:cs="맑은 고딕" w:eastAsia="맑은 고딕" w:hAnsi="맑은 고딕"/>
          <w:b/>
          <w:bCs/>
          <w:color w:val="000000"/>
          <w:sz w:val="21"/>
          <w:szCs w:val="21"/>
        </w:rPr>
        <w:t xml:space="preserve">항목 5 · 인력 실태</w:t>
      </w:r>
    </w:p>
    <w:p>
      <w:pPr>
        <w:pStyle w:val="ListParagraph"/>
        <w:numPr>
          <w:ilvl w:val="0"/>
          <w:numId w:val="2"/>
        </w:numPr>
        <w:spacing w:after="80" w:line="300"/>
      </w:pPr>
      <w:r>
        <w:rPr>
          <w:rFonts w:ascii="맑은 고딕" w:cs="맑은 고딕" w:eastAsia="맑은 고딕" w:hAnsi="맑은 고딕"/>
          <w:sz w:val="20"/>
          <w:szCs w:val="20"/>
        </w:rPr>
        <w:t xml:space="preserve">경비직 문 두드리는 2030 (서울경제)</w:t>
      </w:r>
    </w:p>
    <w:p>
      <w:pPr>
        <w:pStyle w:val="ListParagraph"/>
        <w:numPr>
          <w:ilvl w:val="0"/>
          <w:numId w:val="2"/>
        </w:numPr>
        <w:spacing w:after="80" w:line="300"/>
      </w:pPr>
      <w:r>
        <w:rPr>
          <w:rFonts w:ascii="맑은 고딕" w:cs="맑은 고딕" w:eastAsia="맑은 고딕" w:hAnsi="맑은 고딕"/>
          <w:sz w:val="20"/>
          <w:szCs w:val="20"/>
        </w:rPr>
        <w:t xml:space="preserve">종사자 21만명, 6조 시장 추산 (아웃소싱타임스) / 2025년 12월 고용동향 (고용노동부)</w:t>
      </w:r>
    </w:p>
    <w:p>
      <w:pPr>
        <w:pStyle w:val="ListParagraph"/>
        <w:numPr>
          <w:ilvl w:val="0"/>
          <w:numId w:val="2"/>
        </w:numPr>
        <w:spacing w:after="80" w:line="300"/>
      </w:pPr>
      <w:r>
        <w:rPr>
          <w:rFonts w:ascii="맑은 고딕" w:cs="맑은 고딕" w:eastAsia="맑은 고딕" w:hAnsi="맑은 고딕"/>
          <w:sz w:val="20"/>
          <w:szCs w:val="20"/>
        </w:rPr>
        <w:t xml:space="preserve">바닥은 로봇·화장실은 사람: 한국카처 (이데일리)</w:t>
      </w:r>
    </w:p>
    <w:p>
      <w:pPr>
        <w:pStyle w:val="ListParagraph"/>
        <w:numPr>
          <w:ilvl w:val="0"/>
          <w:numId w:val="2"/>
        </w:numPr>
        <w:spacing w:after="80" w:line="300"/>
      </w:pPr>
      <w:r>
        <w:rPr>
          <w:rFonts w:ascii="맑은 고딕" w:cs="맑은 고딕" w:eastAsia="맑은 고딕" w:hAnsi="맑은 고딕"/>
          <w:sz w:val="20"/>
          <w:szCs w:val="20"/>
        </w:rPr>
        <w:t xml:space="preserve">청소로봇, 장비 넘어 운영 인프라로 (인공지능신문) / 피지컬 AI의 도입, 일자리 구조를 다시 쓰다 (아웃소싱타임스)</w:t>
      </w:r>
    </w:p>
    <w:p>
      <w:pPr>
        <w:pStyle w:val="Heading3"/>
        <w:spacing w:after="100" w:before="240"/>
      </w:pPr>
      <w:r>
        <w:rPr>
          <w:rFonts w:ascii="맑은 고딕" w:cs="맑은 고딕" w:eastAsia="맑은 고딕" w:hAnsi="맑은 고딕"/>
          <w:b/>
          <w:bCs/>
          <w:color w:val="000000"/>
          <w:sz w:val="21"/>
          <w:szCs w:val="21"/>
        </w:rPr>
        <w:t xml:space="preserve">부수 발견 · 로봇 친화형 건축물</w:t>
      </w:r>
    </w:p>
    <w:p>
      <w:pPr>
        <w:pStyle w:val="ListParagraph"/>
        <w:numPr>
          <w:ilvl w:val="0"/>
          <w:numId w:val="2"/>
        </w:numPr>
        <w:spacing w:after="80" w:line="300"/>
      </w:pPr>
      <w:r>
        <w:rPr>
          <w:rFonts w:ascii="맑은 고딕" w:cs="맑은 고딕" w:eastAsia="맑은 고딕" w:hAnsi="맑은 고딕"/>
          <w:sz w:val="20"/>
          <w:szCs w:val="20"/>
        </w:rPr>
        <w:t xml:space="preserve">로봇 친화형 건축물 핵심기술 개발 착수 (국토교통부)</w:t>
      </w:r>
    </w:p>
    <w:p>
      <w:pPr>
        <w:pStyle w:val="ListParagraph"/>
        <w:numPr>
          <w:ilvl w:val="0"/>
          <w:numId w:val="2"/>
        </w:numPr>
        <w:spacing w:after="80" w:line="300"/>
      </w:pPr>
      <w:r>
        <w:rPr>
          <w:rFonts w:ascii="맑은 고딕" w:cs="맑은 고딕" w:eastAsia="맑은 고딕" w:hAnsi="맑은 고딕"/>
          <w:sz w:val="20"/>
          <w:szCs w:val="20"/>
        </w:rPr>
        <w:t xml:space="preserve">공동주택 단지에서의 로봇 친화형 건축물 인증 지표 개발 (AURIC)</w:t>
      </w:r>
    </w:p>
    <w:p>
      <w:pPr>
        <w:pStyle w:val="ListParagraph"/>
        <w:numPr>
          <w:ilvl w:val="0"/>
          <w:numId w:val="2"/>
        </w:numPr>
        <w:spacing w:after="80" w:line="300"/>
      </w:pPr>
      <w:r>
        <w:rPr>
          <w:rFonts w:ascii="맑은 고딕" w:cs="맑은 고딕" w:eastAsia="맑은 고딕" w:hAnsi="맑은 고딕"/>
          <w:sz w:val="20"/>
          <w:szCs w:val="20"/>
        </w:rPr>
        <w:t xml:space="preserve">로봇 친화형 건축물 인증 법제화 세미나 (시사앤피플)</w:t>
      </w:r>
    </w:p>
    <w:p>
      <w:pPr>
        <w:pStyle w:val="Heading1"/>
        <w:pBdr>
          <w:bottom w:val="single" w:color="1F3864" w:sz="12" w:space="6"/>
        </w:pBdr>
        <w:spacing w:after="200" w:before="480"/>
      </w:pPr>
      <w:r>
        <w:rPr>
          <w:rFonts w:ascii="맑은 고딕" w:cs="맑은 고딕" w:eastAsia="맑은 고딕" w:hAnsi="맑은 고딕"/>
          <w:b/>
          <w:bCs/>
          <w:color w:val="1F3864"/>
          <w:sz w:val="30"/>
          <w:szCs w:val="30"/>
        </w:rPr>
        <w:t xml:space="preserve">부록 B. 원본 자료 위치</w:t>
      </w:r>
    </w:p>
    <w:p>
      <w:pPr>
        <w:spacing w:after="120" w:before="0" w:line="300"/>
      </w:pPr>
      <w:r>
        <w:rPr>
          <w:rFonts w:ascii="맑은 고딕" w:cs="맑은 고딕" w:eastAsia="맑은 고딕" w:hAnsi="맑은 고딕"/>
          <w:sz w:val="20"/>
          <w:szCs w:val="20"/>
        </w:rPr>
        <w:t xml:space="preserve">이 보고서는 아래 원본 문서를 종합한 것입니다. 시뮬레이션 인터뷰 전문(全文)은 이 보고서에 요약만 실렸으며, 페르소나별 전체 답변은 원본에 있습니다.</w:t>
      </w:r>
    </w:p>
    <w:p>
      <w:pPr>
        <w:spacing w:after="120" w:before="0" w:line="300"/>
      </w:pPr>
      <w:r>
        <w:rPr>
          <w:rFonts w:ascii="맑은 고딕" w:cs="맑은 고딕" w:eastAsia="맑은 고딕" w:hAnsi="맑은 고딕"/>
          <w:b/>
          <w:bCs/>
          <w:sz w:val="20"/>
          <w:szCs w:val="20"/>
        </w:rPr>
        <w:t xml:space="preserve">GitHub 저장소: </w:t>
      </w:r>
      <w:r>
        <w:rPr>
          <w:rFonts w:ascii="맑은 고딕" w:cs="맑은 고딕" w:eastAsia="맑은 고딕" w:hAnsi="맑은 고딕"/>
          <w:sz w:val="20"/>
          <w:szCs w:val="20"/>
        </w:rPr>
        <w:t xml:space="preserve">s1slp47team-blip/Etc</w:t>
      </w:r>
    </w:p>
    <w:p>
      <w:pPr>
        <w:spacing w:after="120" w:before="0" w:line="300"/>
      </w:pPr>
      <w:r>
        <w:rPr>
          <w:rFonts w:ascii="맑은 고딕" w:cs="맑은 고딕" w:eastAsia="맑은 고딕" w:hAnsi="맑은 고딕"/>
          <w:b/>
          <w:bCs/>
          <w:sz w:val="20"/>
          <w:szCs w:val="20"/>
        </w:rPr>
        <w:t xml:space="preserve">브랜치: </w:t>
      </w:r>
      <w:r>
        <w:rPr>
          <w:rFonts w:ascii="맑은 고딕" w:cs="맑은 고딕" w:eastAsia="맑은 고딕" w:hAnsi="맑은 고딕"/>
          <w:sz w:val="20"/>
          <w:szCs w:val="20"/>
        </w:rPr>
        <w:t xml:space="preserve">claude/ai-persona-robot-adoption-research-43oepq</w:t>
      </w:r>
    </w:p>
    <w:p>
      <w:pPr>
        <w:spacing w:after="120" w:before="0" w:line="300"/>
      </w:pPr>
      <w:r>
        <w:rPr>
          <w:rFonts w:ascii="맑은 고딕" w:cs="맑은 고딕" w:eastAsia="맑은 고딕" w:hAnsi="맑은 고딕"/>
          <w:b/>
          <w:bCs/>
          <w:sz w:val="20"/>
          <w:szCs w:val="20"/>
        </w:rPr>
        <w:t xml:space="preserve">경로: </w:t>
      </w:r>
      <w:r>
        <w:rPr>
          <w:rFonts w:ascii="맑은 고딕" w:cs="맑은 고딕" w:eastAsia="맑은 고딕" w:hAnsi="맑은 고딕"/>
          <w:sz w:val="20"/>
          <w:szCs w:val="20"/>
        </w:rPr>
        <w:t xml:space="preserve">robot-market-research/</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4400"/>
        <w:gridCol w:w="2026"/>
      </w:tblGrid>
      <w:tr>
        <w:trPr>
          <w:tblHeader/>
        </w:trPr>
        <w:tc>
          <w:tcPr>
            <w:tcW w:type="dxa" w:w="26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파일</w:t>
            </w:r>
          </w:p>
        </w:tc>
        <w:tc>
          <w:tcPr>
            <w:tcW w:type="dxa" w:w="4400"/>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내용</w:t>
            </w:r>
          </w:p>
        </w:tc>
        <w:tc>
          <w:tcPr>
            <w:tcW w:type="dxa" w:w="2026"/>
            <w:shd w:fill="1F3864" w:val="clear"/>
            <w:tcMar>
              <w:top w:type="dxa" w:w="60"/>
              <w:left w:type="dxa" w:w="100"/>
              <w:bottom w:type="dxa" w:w="60"/>
              <w:right w:type="dxa" w:w="100"/>
            </w:tcMar>
            <w:vAlign w:val="center"/>
          </w:tcPr>
          <w:p>
            <w:pPr>
              <w:spacing w:after="0" w:before="0" w:line="260"/>
              <w:jc w:val="center"/>
            </w:pPr>
            <w:r>
              <w:rPr>
                <w:rFonts w:ascii="맑은 고딕" w:cs="맑은 고딕" w:eastAsia="맑은 고딕" w:hAnsi="맑은 고딕"/>
                <w:b/>
                <w:bCs/>
                <w:color w:val="FFFFFF"/>
                <w:sz w:val="17"/>
                <w:szCs w:val="17"/>
              </w:rPr>
              <w:t xml:space="preserve">본 보고서 대응</w:t>
            </w:r>
          </w:p>
        </w:tc>
      </w:tr>
      <w:tr>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README.md</w:t>
            </w:r>
          </w:p>
        </w:tc>
        <w:tc>
          <w:tcPr>
            <w:tcW w:type="dxa" w:w="4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조사 설계 전체, 실행 절차, 알려진 한계</w:t>
            </w:r>
          </w:p>
        </w:tc>
        <w:tc>
          <w:tcPr>
            <w:tcW w:type="dxa" w:w="2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Ⅱ장</w:t>
            </w:r>
          </w:p>
        </w:tc>
      </w:tr>
      <w:tr>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01-personas.md</w:t>
            </w:r>
          </w:p>
        </w:tc>
        <w:tc>
          <w:tcPr>
            <w:tcW w:type="dxa" w:w="4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페르소나 카드 14종 상세, 서비스 카탈로그 12종</w:t>
            </w:r>
          </w:p>
        </w:tc>
        <w:tc>
          <w:tcPr>
            <w:tcW w:type="dxa" w:w="2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Ⅲ장</w:t>
            </w:r>
          </w:p>
        </w:tc>
      </w:tr>
      <w:tr>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02-interview-protocol.md</w:t>
            </w:r>
          </w:p>
        </w:tc>
        <w:tc>
          <w:tcPr>
            <w:tcW w:type="dxa" w:w="4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인터뷰 프로토콜, 정량 도구 7종, 3회 실행 기록 양식</w:t>
            </w:r>
          </w:p>
        </w:tc>
        <w:tc>
          <w:tcPr>
            <w:tcW w:type="dxa" w:w="2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Ⅲ장 3절</w:t>
            </w:r>
          </w:p>
        </w:tc>
      </w:tr>
      <w:tr>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03-interviews/office.md</w:t>
            </w:r>
          </w:p>
        </w:tc>
        <w:tc>
          <w:tcPr>
            <w:tcW w:type="dxa" w:w="4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오피스 시뮬레이션 인터뷰 전문 (P1~P3)</w:t>
            </w:r>
          </w:p>
        </w:tc>
        <w:tc>
          <w:tcPr>
            <w:tcW w:type="dxa" w:w="2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Ⅳ장 3절</w:t>
            </w:r>
          </w:p>
        </w:tc>
      </w:tr>
      <w:tr>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03-interviews/logistics.md</w:t>
            </w:r>
          </w:p>
        </w:tc>
        <w:tc>
          <w:tcPr>
            <w:tcW w:type="dxa" w:w="4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물류센터 전문 (P4~P6)</w:t>
            </w:r>
          </w:p>
        </w:tc>
        <w:tc>
          <w:tcPr>
            <w:tcW w:type="dxa" w:w="2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Ⅳ장 3절</w:t>
            </w:r>
          </w:p>
        </w:tc>
      </w:tr>
      <w:tr>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03-interviews/datacenter.md</w:t>
            </w:r>
          </w:p>
        </w:tc>
        <w:tc>
          <w:tcPr>
            <w:tcW w:type="dxa" w:w="4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데이터센터 전문 (P7~P9)</w:t>
            </w:r>
          </w:p>
        </w:tc>
        <w:tc>
          <w:tcPr>
            <w:tcW w:type="dxa" w:w="2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Ⅳ장 3절</w:t>
            </w:r>
          </w:p>
        </w:tc>
      </w:tr>
      <w:tr>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03-interviews/manufacturing.md</w:t>
            </w:r>
          </w:p>
        </w:tc>
        <w:tc>
          <w:tcPr>
            <w:tcW w:type="dxa" w:w="4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제조공장 전문 (P10~P12)</w:t>
            </w:r>
          </w:p>
        </w:tc>
        <w:tc>
          <w:tcPr>
            <w:tcW w:type="dxa" w:w="2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Ⅳ장 3절</w:t>
            </w:r>
          </w:p>
        </w:tc>
      </w:tr>
      <w:tr>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03-interviews/blockers.md</w:t>
            </w:r>
          </w:p>
        </w:tc>
        <w:tc>
          <w:tcPr>
            <w:tcW w:type="dxa" w:w="4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거부권자 전문 (B1, B2)</w:t>
            </w:r>
          </w:p>
        </w:tc>
        <w:tc>
          <w:tcPr>
            <w:tcW w:type="dxa" w:w="2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Ⅳ장 3절</w:t>
            </w:r>
          </w:p>
        </w:tc>
      </w:tr>
      <w:tr>
        <w:tc>
          <w:tcPr>
            <w:tcW w:type="dxa" w:w="26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04-findings.md</w:t>
            </w:r>
          </w:p>
        </w:tc>
        <w:tc>
          <w:tcPr>
            <w:tcW w:type="dxa" w:w="4400"/>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종합 분석, 가설 10개, 인터뷰 스크립트</w:t>
            </w:r>
          </w:p>
        </w:tc>
        <w:tc>
          <w:tcPr>
            <w:tcW w:type="dxa" w:w="2026"/>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Ⅴ·Ⅶ·Ⅷ장</w:t>
            </w:r>
          </w:p>
        </w:tc>
      </w:tr>
      <w:tr>
        <w:tc>
          <w:tcPr>
            <w:tcW w:type="dxa" w:w="26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05-desk-research.md</w:t>
            </w:r>
          </w:p>
        </w:tc>
        <w:tc>
          <w:tcPr>
            <w:tcW w:type="dxa" w:w="4400"/>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데스크 리서치 5건 결과, 신뢰도 등급, 출처 링크</w:t>
            </w:r>
          </w:p>
        </w:tc>
        <w:tc>
          <w:tcPr>
            <w:tcW w:type="dxa" w:w="2026"/>
            <w:shd w:fill="F5F7FA" w:val="clear"/>
            <w:tcMar>
              <w:top w:type="dxa" w:w="60"/>
              <w:left w:type="dxa" w:w="100"/>
              <w:bottom w:type="dxa" w:w="60"/>
              <w:right w:type="dxa" w:w="100"/>
            </w:tcMar>
            <w:vAlign w:val="center"/>
          </w:tcPr>
          <w:p>
            <w:pPr>
              <w:spacing w:after="0" w:before="0" w:line="260"/>
            </w:pPr>
            <w:r>
              <w:rPr>
                <w:rFonts w:ascii="맑은 고딕" w:cs="맑은 고딕" w:eastAsia="맑은 고딕" w:hAnsi="맑은 고딕"/>
                <w:sz w:val="17"/>
                <w:szCs w:val="17"/>
              </w:rPr>
              <w:t xml:space="preserve">Ⅵ장</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건물 소유·운영주체의 로봇 도입 니즈 조사</dc:title>
  <dc:creator>로봇 도입 니즈 조사</dc:creator>
  <dc:description>AI 페르소나 기반 탐색 조사 및 데스크 리서치 결과</dc:description>
  <cp:lastModifiedBy>Un-named</cp:lastModifiedBy>
  <cp:revision>1</cp:revision>
  <dcterms:created xsi:type="dcterms:W3CDTF">2026-08-06T05:38:44.084Z</dcterms:created>
  <dcterms:modified xsi:type="dcterms:W3CDTF">2026-08-06T05:38:44.084Z</dcterms:modified>
</cp:coreProperties>
</file>

<file path=docProps/custom.xml><?xml version="1.0" encoding="utf-8"?>
<Properties xmlns="http://schemas.openxmlformats.org/officeDocument/2006/custom-properties" xmlns:vt="http://schemas.openxmlformats.org/officeDocument/2006/docPropsVTypes"/>
</file>