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ListBullet"/>
      </w:pPr>
      <w:r>
        <w:t>多檔開啟時，按下某個檔案的「開啟」後，清單按鈕會暫時停用，直到目標工具接收到檔案（通常不到 1 秒，最多 10 秒）才恢復，避免連續點擊時兩個檔案互相覆蓋。</w:t>
      </w:r>
    </w:p>
    <w:p>
      <w:pPr>
        <w:pStyle w:val="ListBullet"/>
      </w:pPr>
      <w:r>
        <w:t>語言偏好會記住並在 6 個工具間共用；第一次使用時依瀏覽器語言自動選擇繁體中文、英文或日文。</w:t>
      </w:r>
    </w:p>
    <w:p>
      <w:pPr>
        <w:pStyle w:val="ListBullet"/>
      </w:pPr>
      <w:r>
        <w:t>無障礙與可讀性改善：各工具輸入欄位補上可供螢幕閱讀器讀出的名稱、頁面主標題改為標準標題元素，過小的文字放大；手機版不再出現橫向捲動。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