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</w:t>
      </w:r>
    </w:p>
    <w:p>
      <w:pPr/>
      <w:r>
        <w:t>威脅情資清單另新增 IP→ASN 資料庫解析與查詢（2026-08-23 新增，支援 IPtoASN.com／DB-IP IP to ASN Lite／IPinfo.io 三個免費來源格式），可將 ASN 型情資（如 Spamhaus ASN-DROP）轉換為 IP/CIDR 索引；此功能目前僅提供解析與查詢函式，尚未接線成上傳 UI 或風險比對流程，暫無法透過介面直接使用。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ID）不支援；Spamhaus ASN-DROP 這類無 IP 欄位、以 ASN 為主鍵的情資清單不支援比對。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>
        <w:pStyle w:val="Heading1"/>
      </w:pPr>
      <w:r>
        <w:t>5.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6.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