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ListBullet"/>
      </w:pPr>
      <w:r>
        <w:t>表單草稿自動暫存：填寫表單時會自動暫存在本機瀏覽器；下次開啟時若有未完成的草稿，頁面上方會提示「還原草稿」或「捨棄」。空白表單不會存成草稿。</w:t>
      </w:r>
    </w:p>
    <w:p>
      <w:pPr>
        <w:pStyle w:val="ListBullet"/>
      </w:pPr>
      <w:r>
        <w:t>與匯入原始設定比對：從既有設定檔匯入並產生設定後，輸出區會出現「⇄ 與匯入原始設定比對」按鈕，逐行列出兩者差異（忽略縮排、空白行與註解）。- 為原始設定有、但產生結果沒有的行，可用來確認哪些設定產生器沒有重建。</w:t>
      </w:r>
    </w:p>
    <w:p>
      <w:pPr>
        <w:pStyle w:val="ListBullet"/>
      </w:pPr>
      <w:r>
        <w:t>介面描述範本：批次套用的描述欄位可使用 {name}（介面名稱）、{n}（名稱最後的編號）、{hostname}（主機名稱）、{vlan}（Access VLAN），例如 {hostname}-P{n} 會依序產生 SW1-P1、SW1-P2……</w:t>
      </w:r>
    </w:p>
    <w:p>
      <w:pPr>
        <w:pStyle w:val="ListBullet"/>
      </w:pPr>
      <w:r>
        <w:t>安全稽核預覽的計分方式與交換器分析工具一致：單一檢查項目最多扣「每筆權重的 3 倍」，達上限者標示「已達扣分上限」；trunk 允許清單也支援 10-20 這類範圍寫法。</w:t>
      </w:r>
    </w:p>
    <w:p>
      <w:pPr>
        <w:pStyle w:val="ListBullet"/>
      </w:pPr>
      <w:r>
        <w:t>下載或複製產生結果後，表單草稿會自動清除，下次開啟不再提示還原；之後若再修改表單，會重新開始自動暫存。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