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ListBullet"/>
      </w:pPr>
      <w:r>
        <w:t>Azure Firewall Policy 與 GCP network firewall policy（2026-10-13）：雲端安全群組格式另可處理這兩種 JSON，遮蔽訂閱與資源 ID（含 Firewall Policy、IP 群組）、規則中的 FQDN（公開網域保留）、GCP 政策名稱與 IP；殘留檢查不再把資源 ID 路徑與標籤值片段誤判為金鑰。</w:t>
      </w:r>
    </w:p>
    <w:p>
      <w:pPr>
        <w:pStyle w:val="ListBullet"/>
      </w:pPr>
      <w:r>
        <w:t>Kubernetes NetworkPolicy 與 Oracle Cloud 安全清單／NSG（2026-10-13）：雲端安全群組格式另可處理這兩種 JSON。NetworkPolicy 的政策名稱、namespace 與選擇 namespace 用的標籤值以同一對照替換，kubectl 留下的 last-applied-configuration 註記一律遮蔽；OCI 的名稱與 OCID 唯一碼（保留資源類型與區域）、IP、描述與標籤值遮蔽，Oracle 服務網段名稱保留。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