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ListBullet"/>
      </w:pPr>
      <w:r>
        <w:t>2026-10-06 入口頁可辨識 Netgate TNSR 設定檔（show configuration running cli），拖放後導向防火牆分析器的 TNSR 欄位。</w:t>
      </w:r>
    </w:p>
    <w:p>
      <w:pPr>
        <w:pStyle w:val="ListBullet"/>
      </w:pPr>
      <w:r>
        <w:t>2026-10-06 入口頁可辨識 Broadcom EFOS 設定檔，拖放後導向交換器分析。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