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ListBullet"/>
      </w:pPr>
      <w:r>
        <w:t>可直接拖放 .zip 壓縮檔：內含多個檔案時逐一列出判斷結果，分別開啟對應工具；加密或過大的壓縮檔請先解壓。</w:t>
      </w:r>
    </w:p>
    <w:p>
      <w:pPr>
        <w:pStyle w:val="ListBullet"/>
      </w:pPr>
      <w:r>
        <w:t>綜合健檢摘要顯示趨勢：同一設備重新分析時保留最近 5 次的分數與問題數，摘要列與 Markdown 報告會顯示「分數 72 → 85（+13）」與問題數變化（log 只比較問題數）。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