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/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ID）不支援；Spamhaus ASN-DROP 這類無 IP 欄位、以 ASN 為主鍵的情資清單不支援比對。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</w:tbl>
    <w:p/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>
        <w:pStyle w:val="Heading1"/>
      </w:pPr>
      <w:r>
        <w:t>5.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IP，無法命中真實情資清單。請先完成問題分析與情資比對（步驟③④），再執行去識別化（步驟⑥）。</w:t>
      </w:r>
    </w:p>
    <w:p>
      <w:r>
        <w:t>去識別化涵蓋 CEF/LEEF/JSON/Syslog(RFC3164/RFC5424) 四種格式各自的敏感欄位（IP、主機名稱、使用者名稱），IP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6. 彩蛋與隱藏功能</w:t>
      </w:r>
    </w:p>
    <w:p>
      <w:r>
        <w:t>本工具共支援 11 種語言（zhTW／en／ja／tlh／pirate／emoji／bureau／cat／bean／alpaca／yanse），語言按鈕預設僅顯示繁中／英文／日文三種，其餘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