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ListBullet"/>
      </w:pPr>
      <w:r>
        <w:t>結果頁先給結論（2026-10）：分析完先進「摘要」頁，直接看到健康度、最優先處理的 3 件事（含韌體已遭利用漏洞）與下一步按鈕（看完整稽核、匯出報告、查詢、轉換、去識別化分享），不必先面對整張規則表。稽核頁只先列出有發現的項目：摘要卡只顯示有數值的，沒有發現的檢查與 Zone 流量矩陣收在頁面下方的折疊區，合規表中通過的檢查也收進「通過的檢查」。側邊欄稽核數字與稽核頁的發現數改為一致。</w:t>
      </w:r>
    </w:p>
    <w:p>
      <w:pPr>
        <w:pStyle w:val="ListBullet"/>
      </w:pPr>
      <w:r>
        <w:t>報告可直接交給主管（2026-10）：匯出的 HTML 報告改為淺色、可直接列印，風險等級顯示為在地化文字，表頭顯示工具名稱，主管摘要後新增「建議立即處理」清單，依風險列出最需要先處理的項目。防火牆報告的合規表只列出有發現的檢查，通過的檢查以一行數量註明，韌體已遭利用漏洞會附上 CVE。</w:t>
      </w:r>
    </w:p>
    <w:p>
      <w:pPr>
        <w:pStyle w:val="ListBullet"/>
      </w:pPr>
      <w:r>
        <w:t>怎麼取得設定檔（2026-10）：上傳頁新增「怎麼從設備取得檔案」，列出 FortiGate、Palo Alto、Cisco ASA／FTD、Juniper SRX、pfSense、OPNsense、MikroTik、VyOS／EdgeRouter、Linux、OpenWrt 的匯出指令或網頁介面路徑。</w:t>
      </w:r>
    </w:p>
    <w:p>
      <w:pPr>
        <w:pStyle w:val="ListBullet"/>
      </w:pPr>
      <w:r>
        <w:t>放錯檔案時的說明（2026-10）：上傳 PDF、Word／Excel、截圖、Windows .evtx、封包擷取檔、加密 zip 或其他二進位檔時，會直接說明這是什麼檔、為什麼不能用、應該改拿哪種檔案，並附「怎麼從設備取得檔案」；解析不出內容時結果列也會顯示原因與取得檔案的連結。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