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ListBullet"/>
      </w:pPr>
      <w:r>
        <w:t>「匯入既有設定檔」認不出廠牌，或匯入後幾乎沒有介面與 VLAN 時，訊息旁會出現「在交換器分析工具開啟」按鈕：交換器分析工具會用完整解析器再判斷一次，若真的無法解析，該工具會顯示回報提示列，可去識別化後回報。</w:t>
      </w:r>
    </w:p>
    <w:p>
      <w:pPr>
        <w:pStyle w:val="ListBullet"/>
      </w:pPr>
      <w:r>
        <w:t>開啟頁面時不再自動跳出「產生前檢查結果」提示，按「產生設定」時才會顯示；手機版下拉選單與表格不再超出畫面。</w:t>
      </w:r>
    </w:p>
    <w:p>
      <w:pPr>
        <w:pStyle w:val="ListBullet"/>
      </w:pPr>
      <w:r>
        <w:t>只產生差異指令（Cisco IOS-XE／Comware）：匯入既有設定檔後在表單上修改，按「Δ 只產生差異指令」只輸出要下的指令——VLAN 新增／刪除／改名／SVI IPv4、介面描述／access／trunk／VLAN／native／shutdown、靜態路由新增／刪除（Comware 的 trunk 允許清單會先 undo 再重新 permit）。其他欄位不產生指令，hybrid、IPv6 SVI 與移除的介面以註解列出需手動處理；執行前請先備份。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