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ListBullet"/>
      </w:pPr>
      <w:r>
        <w:t>大檔效能改善：同一分鐘內湧入大量事件時（例如掃描或 DDoS 期間的防火牆 log），問題清單不再隨事件數平方成長，10 萬筆由十餘秒降到約 1 秒；去識別化約快一倍；只改分析條件（門檻、時間窗等）再按「分析」時沿用上次解析結果，不必重新解析整份 log。</w:t>
      </w:r>
    </w:p>
    <w:p>
      <w:pPr>
        <w:pStyle w:val="ListBullet"/>
      </w:pPr>
      <w:r>
        <w:t>第一次使用（2026-10-15）：匯入說明改為一句話，支援格式收在「支援的格式」內；威脅情資、白名單、地理／ASN 資料與自訂規則收進「選用」區塊，已有資料時自動展開。分析後結果上方的提示列顯示事件數、問題數與嚴重項目，可直接跳到問題清單、匯出報告或去識別化。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