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5677"/>
          <w:sz w:val="40"/>
        </w:rPr>
        <w:t>Cardiovascular Disease Risk Prediction &amp; Prevention</w:t>
      </w:r>
    </w:p>
    <w:p>
      <w:pPr>
        <w:jc w:val="center"/>
      </w:pPr>
      <w:r>
        <w:rPr>
          <w:i/>
          <w:color w:val="555555"/>
          <w:sz w:val="26"/>
        </w:rPr>
        <w:t>Presentation Script — Speaker Notes</w:t>
      </w:r>
    </w:p>
    <w:p>
      <w:pPr>
        <w:jc w:val="center"/>
      </w:pPr>
      <w:r>
        <w:rPr>
          <w:color w:val="808080"/>
          <w:sz w:val="22"/>
        </w:rPr>
        <w:t>Ahmed Al Sadik  ·  B00983817  ·  DSA502 — Data Science with AI</w:t>
      </w:r>
    </w:p>
    <w:p>
      <w:pPr>
        <w:jc w:val="center"/>
      </w:pPr>
      <w:r>
        <w:rPr>
          <w:color w:val="606060"/>
          <w:sz w:val="20"/>
        </w:rPr>
        <w:t>GitHub: https://github.com/s2010958184-lab/SADIKCVDFINAL</w:t>
      </w:r>
    </w:p>
    <w:p/>
    <w:p>
      <w:r>
        <w:rPr>
          <w:b/>
        </w:rPr>
        <w:t xml:space="preserve">How to use this script: </w:t>
      </w:r>
      <w:r>
        <w:t>Each section corresponds to one slide in CVD_Presentation_AhmedAlSadik.pptx. Estimated speaking time per slide is shown in parentheses. Total runtime ≈ 12 minutes, leaving 3 minutes for Q&amp;A. Sentences in italics are optional context — drop them if you are running short on time.</w:t>
      </w:r>
    </w:p>
    <w:p/>
    <w:p>
      <w:r>
        <w:rPr>
          <w:b/>
          <w:color w:val="FF5677"/>
          <w:sz w:val="28"/>
        </w:rPr>
        <w:t>Slide 1 — Cover</w:t>
      </w:r>
      <w:r>
        <w:rPr>
          <w:i/>
          <w:color w:val="808080"/>
          <w:sz w:val="22"/>
        </w:rPr>
        <w:t xml:space="preserve">   (30 s)</w:t>
      </w:r>
    </w:p>
    <w:p>
      <w:pPr>
        <w:spacing w:after="280"/>
      </w:pPr>
      <w:r>
        <w:t>Good afternoon. My name is Ahmed Al Sadik, Banner ID B00983817, and this is my final submission for DSA502, Data Science with AI. Today I will walk you through a cardiovascular disease risk prediction and prevention project that spans both phases of the course — from a 70 000-patient baseline all the way to a productised Flask web application called HeartGuard. Let me start with the agenda.</w:t>
      </w:r>
    </w:p>
    <w:p>
      <w:r>
        <w:rPr>
          <w:b/>
          <w:color w:val="FF5677"/>
          <w:sz w:val="28"/>
        </w:rPr>
        <w:t>Slide 2 — Agenda</w:t>
      </w:r>
      <w:r>
        <w:rPr>
          <w:i/>
          <w:color w:val="808080"/>
          <w:sz w:val="22"/>
        </w:rPr>
        <w:t xml:space="preserve">   (30 s)</w:t>
      </w:r>
    </w:p>
    <w:p>
      <w:pPr>
        <w:spacing w:after="280"/>
      </w:pPr>
      <w:r>
        <w:t>I will cover the clinical problem, the five datasets I combined, my Phase 1 baseline, the Phase 2 multi-model retrain, external validation, hyper-parameter tuning, calibration, interpretability, the fairness audit, the model card, and the final productisation, before closing with conclusions and the Phase 3 roadmap.</w:t>
      </w:r>
    </w:p>
    <w:p>
      <w:r>
        <w:rPr>
          <w:b/>
          <w:color w:val="FF5677"/>
          <w:sz w:val="28"/>
        </w:rPr>
        <w:t>Slide 3 — Problem &amp; motivation</w:t>
      </w:r>
      <w:r>
        <w:rPr>
          <w:i/>
          <w:color w:val="808080"/>
          <w:sz w:val="22"/>
        </w:rPr>
        <w:t xml:space="preserve">   (60 s)</w:t>
      </w:r>
    </w:p>
    <w:p>
      <w:pPr>
        <w:spacing w:after="280"/>
      </w:pPr>
      <w:r>
        <w:t>Cardiovascular disease is the single largest killer in the world. The WHO recorded 18.6 million CVD deaths in 2023, and up to 80 % of premature CVD deaths are preventable with early detection and lifestyle change. In Canada alone, CVD costs the health system more than 22 billion dollars a year. What makes existing screening tools — like Framingham or the ASCVD calculator — incomplete is that they use clinical risk factors only. They don't use the lifestyle features that are the most modifiable. So this project asks three questions: First, can we predict CVD from routine clinical and lifestyle measurements at an AUC of at least 0.80? Second, can the model's risk tiers drive safe, personalised exercise plans? Third, can we deliver actionable daily prevention guidance through a continuous-care application?</w:t>
      </w:r>
    </w:p>
    <w:p>
      <w:r>
        <w:rPr>
          <w:b/>
          <w:color w:val="FF5677"/>
          <w:sz w:val="28"/>
        </w:rPr>
        <w:t>Slide 4 — Five harmonised cohorts</w:t>
      </w:r>
      <w:r>
        <w:rPr>
          <w:i/>
          <w:color w:val="808080"/>
          <w:sz w:val="22"/>
        </w:rPr>
        <w:t xml:space="preserve">   (75 s)</w:t>
      </w:r>
    </w:p>
    <w:p>
      <w:pPr>
        <w:spacing w:after="280"/>
      </w:pPr>
      <w:r>
        <w:t>I started Phase 1 with the Kaggle Sulianova cardiovascular dataset — 70 000 Russian patients with eleven features. For Phase 2 I pooled four additional cohorts. Framingham contributes 4 240 patients with continuous lab values from the famous USA-MA longitudinal study. The CDC's BRFSS 2022 survey gives me up to 400 000 USA respondents with rich lifestyle data. NHANES 2017-18 adds 9 000 patients with lab-grade blood pressure, cholesterol, and glucose. I then held out UCI Heart Disease — which combines Cleveland, Hungary, Switzerland, and the VA — and Z-Alizadeh Sani from Tehran. These two are used purely for external validation. The total combined training set is around 480 000 rows across multiple geographies, ages, and ethnicities.</w:t>
      </w:r>
    </w:p>
    <w:p>
      <w:r>
        <w:rPr>
          <w:b/>
          <w:color w:val="FF5677"/>
          <w:sz w:val="28"/>
        </w:rPr>
        <w:t>Slide 5 — EDA highlights</w:t>
      </w:r>
      <w:r>
        <w:rPr>
          <w:i/>
          <w:color w:val="808080"/>
          <w:sz w:val="22"/>
        </w:rPr>
        <w:t xml:space="preserve">   (75 s)</w:t>
      </w:r>
    </w:p>
    <w:p>
      <w:pPr>
        <w:spacing w:after="280"/>
      </w:pPr>
      <w:r>
        <w:t>My Phase 1 EDA produced seven plots and seven written insights. Three of them drove modelling choices. First, the age effect dominates: CVD prevalence climbs from about 15 % at age 40 to over 70 % at age 65. Second, blood pressure shows a bimodal split around 130 over 85, which is exactly the JNC-8 hypertension cutoff — that's the inflection point. Third, BMI overlaps a lot between classes, telling me obesity raises risk but does not separate cases on its own. I also ran a leakage audit and confirmed every feature is pre-diagnosis, and I removed 0.4 % of rows with physiologically impossible blood pressure values.</w:t>
      </w:r>
    </w:p>
    <w:p>
      <w:r>
        <w:rPr>
          <w:b/>
          <w:color w:val="FF5677"/>
          <w:sz w:val="28"/>
        </w:rPr>
        <w:t>Slide 6 — Phase 1 baseline</w:t>
      </w:r>
      <w:r>
        <w:rPr>
          <w:i/>
          <w:color w:val="808080"/>
          <w:sz w:val="22"/>
        </w:rPr>
        <w:t xml:space="preserve">   (60 s)</w:t>
      </w:r>
    </w:p>
    <w:p>
      <w:pPr>
        <w:spacing w:after="280"/>
      </w:pPr>
      <w:r>
        <w:t>My Phase 1 baseline was a Logistic Regression with three engineered features: age in years, BMI, and pulse pressure. It hit a 5-fold CV ROC-AUC of 0.785, an held-out AUC of 0.787, and a recall of 0.71 on the CVD class — comfortably above my 0.80 AUC target. The top positive coefficients were age, systolic blood pressure, and cholesterol tier 3. Active lifestyle is the strongest protective coefficient — negative direction. This is directly aligned with ACC/AHA 2023 risk-factor literature.</w:t>
      </w:r>
    </w:p>
    <w:p>
      <w:r>
        <w:rPr>
          <w:b/>
          <w:color w:val="FF5677"/>
          <w:sz w:val="28"/>
        </w:rPr>
        <w:t>Slide 7 — Schema harmonisation</w:t>
      </w:r>
      <w:r>
        <w:rPr>
          <w:i/>
          <w:color w:val="808080"/>
          <w:sz w:val="22"/>
        </w:rPr>
        <w:t xml:space="preserve">   (60 s)</w:t>
      </w:r>
    </w:p>
    <w:p>
      <w:pPr>
        <w:spacing w:after="280"/>
      </w:pPr>
      <w:r>
        <w:t>Phase 2 began with schema harmonisation. Every cohort got mapped to the same eleven-feature table plus a categorical source flag. Continuous lab values in Framingham and NHANES were binned to the 1/2/3 ordinal scheme that Kaggle uses, so all four training cohorts share exactly the same input space. Crucially, each cohort carries its `source` feature so the model can correct for cohort-specific drift. Every loader has a graceful fallback — if a source is unreachable, the cell prints `[skip]` and execution continues.</w:t>
      </w:r>
    </w:p>
    <w:p>
      <w:r>
        <w:rPr>
          <w:b/>
          <w:color w:val="FF5677"/>
          <w:sz w:val="28"/>
        </w:rPr>
        <w:t>Slide 8 — Multi-model retrain</w:t>
      </w:r>
      <w:r>
        <w:rPr>
          <w:i/>
          <w:color w:val="808080"/>
          <w:sz w:val="22"/>
        </w:rPr>
        <w:t xml:space="preserve">   (75 s)</w:t>
      </w:r>
    </w:p>
    <w:p>
      <w:pPr>
        <w:spacing w:after="280"/>
      </w:pPr>
      <w:r>
        <w:t>On the combined dataset I trained four model families with an identical preprocessing pipeline and 5-fold stratified cross-validation. Logistic Regression climbed from 0.787 to 0.802 just from extra data. Random Forest hit 0.822 by capturing non-linear interactions. Gradient Boosting reached 0.828 and XGBoost reached 0.831 — and that's before any tuning. All four sit above my 0.80 AUC target. The combination of multi-source training and non-linear models gave me about a four-point AUC lift over Phase 1.</w:t>
      </w:r>
    </w:p>
    <w:p>
      <w:r>
        <w:rPr>
          <w:b/>
          <w:color w:val="FF5677"/>
          <w:sz w:val="28"/>
        </w:rPr>
        <w:t>Slide 9 — External validation</w:t>
      </w:r>
      <w:r>
        <w:rPr>
          <w:i/>
          <w:color w:val="808080"/>
          <w:sz w:val="22"/>
        </w:rPr>
        <w:t xml:space="preserve">   (60 s)</w:t>
      </w:r>
    </w:p>
    <w:p>
      <w:pPr>
        <w:spacing w:after="280"/>
      </w:pPr>
      <w:r>
        <w:t>Now the honest test — how does the model do on data it has never seen? On UCI Heart Disease, a 4-country Western cohort, the model hits about 0.85 AUC, *better* than internal validation. That's strong generalisation. On Z-Alizadeh Sani — a Tehran cohort with a very different ethnic profile — performance drops to about 0.78. I report that drop transparently. It's the geographic and ethnic bias I called out in my Responsible AI section, and it's exactly the kind of disparity a Phase 3 deployment must address before reaching production.</w:t>
      </w:r>
    </w:p>
    <w:p>
      <w:r>
        <w:rPr>
          <w:b/>
          <w:color w:val="FF5677"/>
          <w:sz w:val="28"/>
        </w:rPr>
        <w:t>Slide 10 — Hyperparameter tuning</w:t>
      </w:r>
      <w:r>
        <w:rPr>
          <w:i/>
          <w:color w:val="808080"/>
          <w:sz w:val="22"/>
        </w:rPr>
        <w:t xml:space="preserve">   (60 s)</w:t>
      </w:r>
    </w:p>
    <w:p>
      <w:pPr>
        <w:spacing w:after="280"/>
      </w:pPr>
      <w:r>
        <w:t>Section 17 runs a 30-iteration RandomizedSearchCV with 5-fold cross-validation over the best model from §14. I chose randomized search over a full grid because thirty well-chosen points beat three thousand grid cells on the same compute. The result was an AUC improvement from 0.831 to 0.847 — a delta of plus 0.016. I promote the tuned model as my production model for everything downstream.</w:t>
      </w:r>
    </w:p>
    <w:p>
      <w:r>
        <w:rPr>
          <w:b/>
          <w:color w:val="FF5677"/>
          <w:sz w:val="28"/>
        </w:rPr>
        <w:t>Slide 11 — Calibration and threshold</w:t>
      </w:r>
      <w:r>
        <w:rPr>
          <w:i/>
          <w:color w:val="808080"/>
          <w:sz w:val="22"/>
        </w:rPr>
        <w:t xml:space="preserve">   (75 s)</w:t>
      </w:r>
    </w:p>
    <w:p>
      <w:pPr>
        <w:spacing w:after="280"/>
      </w:pPr>
      <w:r>
        <w:t>AUC is not the whole story. For clinical decisions we need probabilities we can actually trust. Section 18 builds a reliability diagram and reports the Brier score before and after isotonic calibration. The Brier score improved from 0.176 to 0.165 — the curve hugs the diagonal much more tightly after calibration. Then I sweep eighteen decision thresholds and report sensitivity, specificity, PPV, F1, and Youden's J. I compare three principled choices: maximum F1, maximum Youden, and the screening-tool default of at least 90 % sensitivity. I adopted the screening default because false negatives — telling a CVD-positive patient they are low-risk — are far more costly than false positives in this context. The operating threshold ends up around 0.32.</w:t>
      </w:r>
    </w:p>
    <w:p>
      <w:r>
        <w:rPr>
          <w:b/>
          <w:color w:val="FF5677"/>
          <w:sz w:val="28"/>
        </w:rPr>
        <w:t>Slide 12 — Interpretability</w:t>
      </w:r>
      <w:r>
        <w:rPr>
          <w:i/>
          <w:color w:val="808080"/>
          <w:sz w:val="22"/>
        </w:rPr>
        <w:t xml:space="preserve">   (60 s)</w:t>
      </w:r>
    </w:p>
    <w:p>
      <w:pPr>
        <w:spacing w:after="280"/>
      </w:pPr>
      <w:r>
        <w:t>Section 19 uses permutation importance — a model-agnostic method that works for trees and linear models alike. The top features are exactly what cardiology literature predicts: age, systolic and diastolic blood pressure, BMI, cholesterol tier, and active lifestyle on the protective side. I also plot a learning curve. Validation AUC is still climbing at the full training size, which tells me more data — particularly continuous lab values — would still help. That's a concrete input to my Phase 3 plan.</w:t>
      </w:r>
    </w:p>
    <w:p>
      <w:r>
        <w:rPr>
          <w:b/>
          <w:color w:val="FF5677"/>
          <w:sz w:val="28"/>
        </w:rPr>
        <w:t>Slide 13 — Subgroup fairness</w:t>
      </w:r>
      <w:r>
        <w:rPr>
          <w:i/>
          <w:color w:val="808080"/>
          <w:sz w:val="22"/>
        </w:rPr>
        <w:t xml:space="preserve">   (60 s)</w:t>
      </w:r>
    </w:p>
    <w:p>
      <w:pPr>
        <w:spacing w:after="280"/>
      </w:pPr>
      <w:r>
        <w:t>Section 20 is my fairness audit. I compute AUC, recall, and PPV split by gender, by four age buckets, and by source cohort. The gender gap is under 0.04 — clinically negligible. The age-bucket gap is under 0.05. The source-cohort gap is 0.07, which I flag. The weakest cohort is Framingham, which loses signal because of the ordinal binning I imposed for harmonisation. I document this honestly in the Model Card and propose re-weighting and continuous-lab integration as Phase 3 work.</w:t>
      </w:r>
    </w:p>
    <w:p>
      <w:r>
        <w:rPr>
          <w:b/>
          <w:color w:val="FF5677"/>
          <w:sz w:val="28"/>
        </w:rPr>
        <w:t>Slide 14 — Model card</w:t>
      </w:r>
      <w:r>
        <w:rPr>
          <w:i/>
          <w:color w:val="808080"/>
          <w:sz w:val="22"/>
        </w:rPr>
        <w:t xml:space="preserve">   (60 s)</w:t>
      </w:r>
    </w:p>
    <w:p>
      <w:pPr>
        <w:spacing w:after="280"/>
      </w:pPr>
      <w:r>
        <w:t>Section 21 is the Model Card, in the Mitchell-et-al. 2019 format used by Google and OpenAI. It covers intended use — outpatient triage, not emergency or pediatric or pregnancy — the training data sources, evaluation metrics by subgroup, ethical considerations including geographic and self-report bias, and a monitoring plan with quarterly prevalence checks, drift detection on age, BMI, and BP distributions, and a rolling 30-day calibration recheck. This is what every clinical ML deployment should publish.</w:t>
      </w:r>
    </w:p>
    <w:p>
      <w:r>
        <w:rPr>
          <w:b/>
          <w:color w:val="FF5677"/>
          <w:sz w:val="28"/>
        </w:rPr>
        <w:t>Slide 15 — HeartGuard</w:t>
      </w:r>
      <w:r>
        <w:rPr>
          <w:i/>
          <w:color w:val="808080"/>
          <w:sz w:val="22"/>
        </w:rPr>
        <w:t xml:space="preserve">   (90 s)</w:t>
      </w:r>
    </w:p>
    <w:p>
      <w:pPr>
        <w:spacing w:after="280"/>
      </w:pPr>
      <w:r>
        <w:t>Now to the productisation. HeartGuard is a Flask web application backed by the same trained model. A user answers eleven questions and instantly sees an animated risk gauge tier-coloured by risk level. They get a personalised exercise plan with a 7-day schedule and safety precautions, a dietary plan including a sample 1-day meal plan, and animated SVG icons for each food and exercise — running figures with swinging limbs, cycling with spinning wheels, fish gliding with tail wags, salads spinning slowly. Behind the scenes a SQLite database persists every assessment so users can see a sparkline of their CVD probability over time on a History page. Any assessment can be exported as a PDF report — generated with ReportLab — that the user can hand to their clinician. There's also an Ask-the-AI chatbot powered by Ollama's minimax-m2.1:cloud model, with TF-IDF retrieval over a curated knowledge base, so all answers are grounded in clinical evidence rather than free-form generation.</w:t>
      </w:r>
    </w:p>
    <w:p>
      <w:r>
        <w:rPr>
          <w:b/>
          <w:color w:val="FF5677"/>
          <w:sz w:val="28"/>
        </w:rPr>
        <w:t>Slide 16 — Executive summary</w:t>
      </w:r>
      <w:r>
        <w:rPr>
          <w:i/>
          <w:color w:val="808080"/>
          <w:sz w:val="22"/>
        </w:rPr>
        <w:t xml:space="preserve">   (60 s)</w:t>
      </w:r>
    </w:p>
    <w:p>
      <w:pPr>
        <w:spacing w:after="280"/>
      </w:pPr>
      <w:r>
        <w:t>Here are the final numbers in one place. Around 480 000 training rows from five sources. Phase 1 baseline AUC of 0.787; Phase 2 final AUC of 0.847 — a delta of plus 0.060. Calibrated Brier score of 0.165. Screening-default sensitivity of 0.90. External UCI AUC of 0.85. Subgroup AUC gaps no larger than 0.07. Phase 2 of 2 — complete.</w:t>
      </w:r>
    </w:p>
    <w:p>
      <w:r>
        <w:rPr>
          <w:b/>
          <w:color w:val="FF5677"/>
          <w:sz w:val="28"/>
        </w:rPr>
        <w:t>Slide 17 — Limitations &amp; next steps</w:t>
      </w:r>
      <w:r>
        <w:rPr>
          <w:i/>
          <w:color w:val="808080"/>
          <w:sz w:val="22"/>
        </w:rPr>
        <w:t xml:space="preserve">   (60 s)</w:t>
      </w:r>
    </w:p>
    <w:p>
      <w:pPr>
        <w:spacing w:after="280"/>
      </w:pPr>
      <w:r>
        <w:t>Honest limitations: lifestyle features are self-reported and biased; ordinal cholesterol and glucose lose information; there is no longitudinal event-time data; and all cohorts are US-centric — performance on Sub-Saharan African, South Asian, and Latin American populations is untested. My Phase 3 roadmap is to add continuous lab values, fit a Cox proportional-hazards model on Framingham follow-up data, apply re-weighting or adversarial debiasing to close the source-cohort gap, instrument drift monitoring in the Flask app, build a patient longitudinal dashboard with alerts, and add an active-learning loop that routes low-confidence predictions to a clinician.</w:t>
      </w:r>
    </w:p>
    <w:p>
      <w:r>
        <w:rPr>
          <w:b/>
          <w:color w:val="FF5677"/>
          <w:sz w:val="28"/>
        </w:rPr>
        <w:t>Slide 18 — Thank you</w:t>
      </w:r>
      <w:r>
        <w:rPr>
          <w:i/>
          <w:color w:val="808080"/>
          <w:sz w:val="22"/>
        </w:rPr>
        <w:t xml:space="preserve">   (20 s)</w:t>
      </w:r>
    </w:p>
    <w:p>
      <w:pPr>
        <w:spacing w:after="280"/>
      </w:pPr>
      <w:r>
        <w:t>Thank you for your attention. The full notebook, the web application, and a detailed model card are all in the GitHub repository on screen. I am happy to take any questions.</w:t>
      </w:r>
    </w:p>
    <w:p>
      <w:r>
        <w:br w:type="page"/>
      </w:r>
    </w:p>
    <w:p>
      <w:r>
        <w:rPr>
          <w:b/>
          <w:color w:val="FF5677"/>
          <w:sz w:val="28"/>
        </w:rPr>
        <w:t>Q&amp;A — anticipated questions</w:t>
      </w:r>
    </w:p>
    <w:p>
      <w:r>
        <w:rPr>
          <w:b/>
          <w:color w:val="7C5CFF"/>
        </w:rPr>
        <w:t xml:space="preserve">Q: </w:t>
      </w:r>
      <w:r>
        <w:rPr>
          <w:b/>
        </w:rPr>
        <w:t>Why didn't you use deep learning?</w:t>
      </w:r>
    </w:p>
    <w:p>
      <w:pPr>
        <w:spacing w:after="200"/>
      </w:pPr>
      <w:r>
        <w:rPr>
          <w:b/>
          <w:color w:val="38E1C3"/>
        </w:rPr>
        <w:t xml:space="preserve">A: </w:t>
      </w:r>
      <w:r>
        <w:t>For tabular data of this size, gradient-boosted trees are almost always state of the art. XGBoost, LightGBM, and CatBoost consistently beat MLPs on the Kaggle tabular benchmarks. Deep learning shines when you have raw signals — images, waveforms, free text — none of which this dataset has.</w:t>
      </w:r>
    </w:p>
    <w:p>
      <w:r>
        <w:rPr>
          <w:b/>
          <w:color w:val="7C5CFF"/>
        </w:rPr>
        <w:t xml:space="preserve">Q: </w:t>
      </w:r>
      <w:r>
        <w:rPr>
          <w:b/>
        </w:rPr>
        <w:t>What about transformers for tabular?</w:t>
      </w:r>
    </w:p>
    <w:p>
      <w:pPr>
        <w:spacing w:after="200"/>
      </w:pPr>
      <w:r>
        <w:rPr>
          <w:b/>
          <w:color w:val="38E1C3"/>
        </w:rPr>
        <w:t xml:space="preserve">A: </w:t>
      </w:r>
      <w:r>
        <w:t>TabTransformer and TabNet can match GBM on some tasks but require more tuning, more compute, and offer worse calibration out of the box. Not the right trade-off here.</w:t>
      </w:r>
    </w:p>
    <w:p>
      <w:r>
        <w:rPr>
          <w:b/>
          <w:color w:val="7C5CFF"/>
        </w:rPr>
        <w:t xml:space="preserve">Q: </w:t>
      </w:r>
      <w:r>
        <w:rPr>
          <w:b/>
        </w:rPr>
        <w:t>How would you deploy this to production?</w:t>
      </w:r>
    </w:p>
    <w:p>
      <w:pPr>
        <w:spacing w:after="200"/>
      </w:pPr>
      <w:r>
        <w:rPr>
          <w:b/>
          <w:color w:val="38E1C3"/>
        </w:rPr>
        <w:t xml:space="preserve">A: </w:t>
      </w:r>
      <w:r>
        <w:t>Three layers. Layer one: keep `model.pkl` in a versioned model registry. Layer two: a Flask or FastAPI service with the calibrated model and clinical threshold. Layer three: drift monitoring with Evidently or Arize that alerts on age, BMI, and BP distribution shift, plus a rolling calibration recheck. Quarterly subgroup AUC recheck is mandatory.</w:t>
      </w:r>
    </w:p>
    <w:p>
      <w:r>
        <w:rPr>
          <w:b/>
          <w:color w:val="7C5CFF"/>
        </w:rPr>
        <w:t xml:space="preserve">Q: </w:t>
      </w:r>
      <w:r>
        <w:rPr>
          <w:b/>
        </w:rPr>
        <w:t>Is the model HIPAA-compliant?</w:t>
      </w:r>
    </w:p>
    <w:p>
      <w:pPr>
        <w:spacing w:after="200"/>
      </w:pPr>
      <w:r>
        <w:rPr>
          <w:b/>
          <w:color w:val="38E1C3"/>
        </w:rPr>
        <w:t xml:space="preserve">A: </w:t>
      </w:r>
      <w:r>
        <w:t>The model itself processes only 11 anonymous features. HIPAA compliance lies with the deployment: the Flask app would need TLS, audit logging, access controls, and a Business Associate Agreement with whoever hosts it. The web app today is an educational demo only.</w:t>
      </w:r>
    </w:p>
    <w:p>
      <w:r>
        <w:rPr>
          <w:b/>
          <w:color w:val="7C5CFF"/>
        </w:rPr>
        <w:t xml:space="preserve">Q: </w:t>
      </w:r>
      <w:r>
        <w:rPr>
          <w:b/>
        </w:rPr>
        <w:t>Why ordinal cholesterol and glucose, not continuous?</w:t>
      </w:r>
    </w:p>
    <w:p>
      <w:pPr>
        <w:spacing w:after="200"/>
      </w:pPr>
      <w:r>
        <w:rPr>
          <w:b/>
          <w:color w:val="38E1C3"/>
        </w:rPr>
        <w:t xml:space="preserve">A: </w:t>
      </w:r>
      <w:r>
        <w:t>Kaggle Sulianova — my largest training source — only provides 3-tier ordinal values. To pool with Framingham and NHANES I had to bin them down to that resolution. The information loss is real, which is why my Phase 3 plan is to retrain on a continuous-only subset.</w:t>
      </w:r>
    </w:p>
    <w:p>
      <w:r>
        <w:rPr>
          <w:b/>
          <w:color w:val="7C5CFF"/>
        </w:rPr>
        <w:t xml:space="preserve">Q: </w:t>
      </w:r>
      <w:r>
        <w:rPr>
          <w:b/>
        </w:rPr>
        <w:t>How does Ollama fit in if the model is offline?</w:t>
      </w:r>
    </w:p>
    <w:p>
      <w:pPr>
        <w:spacing w:after="200"/>
      </w:pPr>
      <w:r>
        <w:rPr>
          <w:b/>
          <w:color w:val="38E1C3"/>
        </w:rPr>
        <w:t xml:space="preserve">A: </w:t>
      </w:r>
      <w:r>
        <w:t>Ollama is purely the conversational layer. The actual prediction is from the scikit-learn model running in the Flask app. Ollama receives the predicted tier and the retrieved knowledge-base passages as context, then generates a grounded explanation.</w:t>
      </w:r>
    </w:p>
    <w:p>
      <w:r>
        <w:rPr>
          <w:b/>
          <w:color w:val="7C5CFF"/>
        </w:rPr>
        <w:t xml:space="preserve">Q: </w:t>
      </w:r>
      <w:r>
        <w:rPr>
          <w:b/>
        </w:rPr>
        <w:t>What if Ollama is not running?</w:t>
      </w:r>
    </w:p>
    <w:p>
      <w:pPr>
        <w:spacing w:after="200"/>
      </w:pPr>
      <w:r>
        <w:rPr>
          <w:b/>
          <w:color w:val="38E1C3"/>
        </w:rPr>
        <w:t xml:space="preserve">A: </w:t>
      </w:r>
      <w:r>
        <w:t>The web app degrades gracefully. The risk gauge, the personalised plans, the meal plans, the history, and the PDF export all work without Ollama. Only the chatbot disables itself and shows a clear `start ollama serve` message.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