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研究进展总览与分期汇报安排"/>
    <w:p>
      <w:pPr>
        <w:pStyle w:val="Heading1"/>
      </w:pPr>
      <w:r>
        <w:t xml:space="preserve">研究进展总览与分期汇报安排</w:t>
      </w:r>
    </w:p>
    <w:p>
      <w:pPr>
        <w:pStyle w:val="FirstParagraph"/>
      </w:pPr>
      <w:r>
        <w:t xml:space="preserve">整理时间：2026-09-15。上周：2026-09-07 至 2026-09-13。</w:t>
      </w:r>
    </w:p>
    <w:bookmarkStart w:id="20" w:name="一当前完整进展"/>
    <w:p>
      <w:pPr>
        <w:pStyle w:val="Heading2"/>
      </w:pPr>
      <w:r>
        <w:t xml:space="preserve">一、当前完整进展</w:t>
      </w:r>
    </w:p>
    <w:p>
      <w:pPr>
        <w:pStyle w:val="FirstParagraph"/>
      </w:pPr>
      <w:r>
        <w:t xml:space="preserve">研究问题：RAG 在什么情况下已经获得足够证据，可以停止继续检索？围绕证据充分性判别，分别研究判别能力、停止风险、问答质量与执行成本。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已完成工作</w:t>
            </w:r>
          </w:p>
        </w:tc>
        <w:tc>
          <w:p>
            <w:pPr>
              <w:pStyle w:val="Compact"/>
              <w:jc w:val="left"/>
            </w:pPr>
            <w:r>
              <w:t xml:space="preserve">当前结论与边界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1–2</w:t>
            </w:r>
          </w:p>
        </w:tc>
        <w:tc>
          <w:p>
            <w:pPr>
              <w:pStyle w:val="Compact"/>
              <w:jc w:val="left"/>
            </w:pPr>
            <w:r>
              <w:t xml:space="preserve">标签构建、Query-only/Query+Evidence 对照、切片及 packing 比较</w:t>
            </w:r>
          </w:p>
        </w:tc>
        <w:tc>
          <w:p>
            <w:pPr>
              <w:pStyle w:val="Compact"/>
              <w:jc w:val="left"/>
            </w:pPr>
            <w:r>
              <w:t xml:space="preserve">证据输入有效，score-aware packing 是后续基础；作为前期工作回顾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3A</w:t>
            </w:r>
          </w:p>
        </w:tc>
        <w:tc>
          <w:p>
            <w:pPr>
              <w:pStyle w:val="Compact"/>
              <w:jc w:val="left"/>
            </w:pPr>
            <w:r>
              <w:t xml:space="preserve">三种子、Hard Partial 分析、辅助回归和采样消融、人工审核、生成评价修复</w:t>
            </w:r>
          </w:p>
        </w:tc>
        <w:tc>
          <w:p>
            <w:pPr>
              <w:pStyle w:val="Compact"/>
              <w:jc w:val="left"/>
            </w:pPr>
            <w:r>
              <w:t xml:space="preserve">score-aware 优于 Query+Stage/concat；辅助任务及采样没有稳定多种子收益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3B</w:t>
            </w:r>
          </w:p>
        </w:tc>
        <w:tc>
          <w:p>
            <w:pPr>
              <w:pStyle w:val="Compact"/>
              <w:jc w:val="left"/>
            </w:pPr>
            <w:r>
              <w:t xml:space="preserve">Dev 校准与策略选择、冻结阈值、Test 问答成本评估、配对 bootstrap</w:t>
            </w:r>
          </w:p>
        </w:tc>
        <w:tc>
          <w:p>
            <w:pPr>
              <w:pStyle w:val="Compact"/>
              <w:jc w:val="left"/>
            </w:pPr>
            <w:r>
              <w:t xml:space="preserve">主策略 FSR 8.45%，质量满足预设非劣判据，成本下降；不构成风险保证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数据工程</w:t>
            </w:r>
          </w:p>
        </w:tc>
        <w:tc>
          <w:p>
            <w:pPr>
              <w:pStyle w:val="Compact"/>
              <w:jc w:val="left"/>
            </w:pPr>
            <w:r>
              <w:t xml:space="preserve">2Wiki 划分、语料去重、证据映射、索引和检索一致性审计</w:t>
            </w:r>
          </w:p>
        </w:tc>
        <w:tc>
          <w:p>
            <w:pPr>
              <w:pStyle w:val="Compact"/>
              <w:jc w:val="left"/>
            </w:pPr>
            <w:r>
              <w:t xml:space="preserve">446,798 chunks；BM25 8 worker 通过检查，FAISS 批处理方案未通过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检索诊断</w:t>
            </w:r>
          </w:p>
        </w:tc>
        <w:tc>
          <w:p>
            <w:pPr>
              <w:pStyle w:val="Compact"/>
              <w:jc w:val="left"/>
            </w:pPr>
            <w:r>
              <w:t xml:space="preserve">阶段补救、终止失败、Oracle、事实数量分层</w:t>
            </w:r>
          </w:p>
        </w:tc>
        <w:tc>
          <w:p>
            <w:pPr>
              <w:pStyle w:val="Compact"/>
              <w:jc w:val="left"/>
            </w:pPr>
            <w:r>
              <w:t xml:space="preserve">Dev-policy 最终完整覆盖 36.60%，终止检索失败 63.40%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域内 Controller</w:t>
            </w:r>
          </w:p>
        </w:tc>
        <w:tc>
          <w:p>
            <w:pPr>
              <w:pStyle w:val="Compact"/>
              <w:jc w:val="left"/>
            </w:pPr>
            <w:r>
              <w:t xml:space="preserve">两类模型各三种子、Dev 校准和风险工作点</w:t>
            </w:r>
          </w:p>
        </w:tc>
        <w:tc>
          <w:p>
            <w:pPr>
              <w:pStyle w:val="Compact"/>
              <w:jc w:val="left"/>
            </w:pPr>
            <w:r>
              <w:t xml:space="preserve">Evidence-aware 判别强；风险工作点仍需关注可恢复误停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LLM Judge</w:t>
            </w:r>
          </w:p>
        </w:tc>
        <w:tc>
          <w:p>
            <w:pPr>
              <w:pStyle w:val="Compact"/>
              <w:jc w:val="left"/>
            </w:pPr>
            <w:r>
              <w:t xml:space="preserve">512/full 两种输入、格式门槛、Dev 对照</w:t>
            </w:r>
          </w:p>
        </w:tc>
        <w:tc>
          <w:p>
            <w:pPr>
              <w:pStyle w:val="Compact"/>
              <w:jc w:val="left"/>
            </w:pPr>
            <w:r>
              <w:t xml:space="preserve">两种均可解析；低 FSR 同时伴随很高的不必要升级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Router</w:t>
            </w:r>
          </w:p>
        </w:tc>
        <w:tc>
          <w:p>
            <w:pPr>
              <w:pStyle w:val="Compact"/>
              <w:jc w:val="left"/>
            </w:pPr>
            <w:r>
              <w:t xml:space="preserve">问题输入路由模型三种子、质量成本对照</w:t>
            </w:r>
          </w:p>
        </w:tc>
        <w:tc>
          <w:p>
            <w:pPr>
              <w:pStyle w:val="Compact"/>
              <w:jc w:val="left"/>
            </w:pPr>
            <w:r>
              <w:t xml:space="preserve">有成本收益，但未预测 Medium；是适配基线，不是官方复现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Heldout</w:t>
            </w:r>
          </w:p>
        </w:tc>
        <w:tc>
          <w:p>
            <w:pPr>
              <w:pStyle w:val="Compact"/>
              <w:jc w:val="left"/>
            </w:pPr>
            <w:r>
              <w:t xml:space="preserve">冻结协议、人工授权及执行代码</w:t>
            </w:r>
          </w:p>
        </w:tc>
        <w:tc>
          <w:p>
            <w:pPr>
              <w:pStyle w:val="Compact"/>
              <w:jc w:val="left"/>
            </w:pPr>
            <w:r>
              <w:t xml:space="preserve">已提交授权 7c14481；对话未提供正式完成结果，不能写成已完成验证</w:t>
            </w:r>
          </w:p>
        </w:tc>
      </w:tr>
    </w:tbl>
    <w:bookmarkEnd w:id="20"/>
    <w:bookmarkStart w:id="21" w:name="二本次选材"/>
    <w:p>
      <w:pPr>
        <w:pStyle w:val="Heading2"/>
      </w:pPr>
      <w:r>
        <w:t xml:space="preserve">二、本次选材</w:t>
      </w:r>
    </w:p>
    <w:p>
      <w:pPr>
        <w:pStyle w:val="FirstParagraph"/>
      </w:pPr>
      <w:r>
        <w:t xml:space="preserve">按研究主题估算，本次组会覆盖约 55%–60%，周报重点写约一半。比例是汇报篇幅，不是工时或已完成任务的精确比例。</w:t>
      </w:r>
    </w:p>
    <w:p>
      <w:pPr>
        <w:pStyle w:val="BodyText"/>
      </w:pPr>
      <w:r>
        <w:t xml:space="preserve">本次重点：前期判别结论 → HotpotQA 风险与成本 → 2Wiki 数据和检索上限。2Wiki Controller、Judge、Router 及 Heldout 留作后续主题。影响当前结论的负结果与限制仍在本次说明。</w:t>
      </w:r>
    </w:p>
    <w:bookmarkEnd w:id="21"/>
    <w:bookmarkStart w:id="22" w:name="三后续每周安排"/>
    <w:p>
      <w:pPr>
        <w:pStyle w:val="Heading2"/>
      </w:pPr>
      <w:r>
        <w:t xml:space="preserve">三、后续每周安排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p>
            <w:pPr>
              <w:pStyle w:val="Compact"/>
              <w:jc w:val="left"/>
            </w:pPr>
            <w:r>
              <w:t xml:space="preserve">周报重点</w:t>
            </w:r>
          </w:p>
        </w:tc>
        <w:tc>
          <w:p>
            <w:pPr>
              <w:pStyle w:val="Compact"/>
              <w:jc w:val="left"/>
            </w:pPr>
            <w:r>
              <w:t xml:space="preserve">组会主题及建议页数</w:t>
            </w:r>
          </w:p>
        </w:tc>
        <w:tc>
          <w:p>
            <w:pPr>
              <w:pStyle w:val="Compact"/>
              <w:jc w:val="left"/>
            </w:pPr>
            <w:r>
              <w:t xml:space="preserve">需要补充或核验的工作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9/7–9/13，上周</w:t>
            </w:r>
          </w:p>
        </w:tc>
        <w:tc>
          <w:p>
            <w:pPr>
              <w:pStyle w:val="Compact"/>
              <w:jc w:val="left"/>
            </w:pPr>
            <w:r>
              <w:t xml:space="preserve">HotpotQA 收口、2Wiki 数据检索建设、检索上限</w:t>
            </w:r>
          </w:p>
        </w:tc>
        <w:tc>
          <w:p>
            <w:pPr>
              <w:pStyle w:val="Compact"/>
              <w:jc w:val="left"/>
            </w:pPr>
            <w:r>
              <w:t xml:space="preserve">本次：停止风险与检索上限，8 页/约 12 分钟</w:t>
            </w:r>
          </w:p>
        </w:tc>
        <w:tc>
          <w:p>
            <w:pPr>
              <w:pStyle w:val="Compact"/>
              <w:jc w:val="left"/>
            </w:pPr>
            <w:r>
              <w:t xml:space="preserve">已有材料，见本目录周报和讲稿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9/14–9/20，本周</w:t>
            </w:r>
          </w:p>
        </w:tc>
        <w:tc>
          <w:p>
            <w:pPr>
              <w:pStyle w:val="Compact"/>
              <w:jc w:val="left"/>
            </w:pPr>
            <w:r>
              <w:t xml:space="preserve">Router 完成与冻结、人工授权、Heldout 实际运行状态；补充汇报先前完成的 Controller/Judge</w:t>
            </w:r>
          </w:p>
        </w:tc>
        <w:tc>
          <w:p>
            <w:pPr>
              <w:pStyle w:val="Compact"/>
              <w:jc w:val="left"/>
            </w:pPr>
            <w:r>
              <w:t xml:space="preserve">第二次：证据判别与外部基线，7 页/约 12 分钟</w:t>
            </w:r>
          </w:p>
        </w:tc>
        <w:tc>
          <w:p>
            <w:pPr>
              <w:pStyle w:val="Compact"/>
              <w:jc w:val="left"/>
            </w:pPr>
            <w:r>
              <w:t xml:space="preserve">检查运行清单及产物；不能提前填写 Heldout 数字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9/21–9/27</w:t>
            </w:r>
          </w:p>
        </w:tc>
        <w:tc>
          <w:p>
            <w:pPr>
              <w:pStyle w:val="Compact"/>
              <w:jc w:val="left"/>
            </w:pPr>
            <w:r>
              <w:t xml:space="preserve">若 Heldout 完成：产物完整性核验、统一指标、置信区间与错误归因；否则如实写运行或排错</w:t>
            </w:r>
          </w:p>
        </w:tc>
        <w:tc>
          <w:p>
            <w:pPr>
              <w:pStyle w:val="Compact"/>
              <w:jc w:val="left"/>
            </w:pPr>
            <w:r>
              <w:t xml:space="preserve">第三次：独立评估是否支持质量成本收益，8 页/约 15 分钟</w:t>
            </w:r>
          </w:p>
        </w:tc>
        <w:tc>
          <w:p>
            <w:pPr>
              <w:pStyle w:val="Compact"/>
              <w:jc w:val="left"/>
            </w:pPr>
            <w:r>
              <w:t xml:space="preserve">使用冻结规则汇总各基线；核对 FSR、RFSR、TRFR 和延迟范围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9/28–10/4</w:t>
            </w:r>
          </w:p>
        </w:tc>
        <w:tc>
          <w:p>
            <w:pPr>
              <w:pStyle w:val="Compact"/>
              <w:jc w:val="left"/>
            </w:pPr>
            <w:r>
              <w:t xml:space="preserve">论文结果表、方法和实验设置初稿、局限性及复现归档</w:t>
            </w:r>
          </w:p>
        </w:tc>
        <w:tc>
          <w:p>
            <w:pPr>
              <w:pStyle w:val="Compact"/>
              <w:jc w:val="left"/>
            </w:pPr>
            <w:r>
              <w:t xml:space="preserve">第四次：论文主张与证据闭环，6 页/约 10 分钟</w:t>
            </w:r>
          </w:p>
        </w:tc>
        <w:tc>
          <w:p>
            <w:pPr>
              <w:pStyle w:val="Compact"/>
              <w:jc w:val="left"/>
            </w:pPr>
            <w:r>
              <w:t xml:space="preserve">清理过强结论、区分域内训练与迁移、整理匿名提交材料</w:t>
            </w:r>
          </w:p>
        </w:tc>
      </w:tr>
    </w:tbl>
    <w:p>
      <w:pPr>
        <w:pStyle w:val="BodyText"/>
      </w:pPr>
      <w:r>
        <w:t xml:space="preserve">后续周报中的旧结果写</w:t>
      </w:r>
      <w:r>
        <w:t xml:space="preserve">“</w:t>
      </w:r>
      <w:r>
        <w:t xml:space="preserve">补充整理/对照分析/汇报</w:t>
      </w:r>
      <w:r>
        <w:t xml:space="preserve">”</w:t>
      </w:r>
      <w:r>
        <w:t xml:space="preserve">，不能把已完成训练写成当周新训练。未来任务是计划，按实际发生更新。</w:t>
      </w:r>
    </w:p>
    <w:bookmarkEnd w:id="22"/>
    <w:bookmarkStart w:id="26" w:name="四第二至第四次组会提纲"/>
    <w:p>
      <w:pPr>
        <w:pStyle w:val="Heading2"/>
      </w:pPr>
      <w:r>
        <w:t xml:space="preserve">四、第二至第四次组会提纲</w:t>
      </w:r>
    </w:p>
    <w:bookmarkStart w:id="23" w:name="第二次谁更适合判断证据充分性"/>
    <w:p>
      <w:pPr>
        <w:pStyle w:val="Heading3"/>
      </w:pPr>
      <w:r>
        <w:t xml:space="preserve">第二次：谁更适合判断证据充分性？</w:t>
      </w:r>
    </w:p>
    <w:p>
      <w:pPr>
        <w:numPr>
          <w:ilvl w:val="0"/>
          <w:numId w:val="1001"/>
        </w:numPr>
        <w:pStyle w:val="Compact"/>
      </w:pPr>
      <w:r>
        <w:t xml:space="preserve">相同证据、相同可决策阶段的比较设置。</w:t>
      </w:r>
    </w:p>
    <w:p>
      <w:pPr>
        <w:numPr>
          <w:ilvl w:val="0"/>
          <w:numId w:val="1001"/>
        </w:numPr>
        <w:pStyle w:val="Compact"/>
      </w:pPr>
      <w:r>
        <w:t xml:space="preserve">Query+Stage 与 Evidence-aware 三种子：Macro F1 0.9299 vs 0.9873。</w:t>
      </w:r>
    </w:p>
    <w:p>
      <w:pPr>
        <w:numPr>
          <w:ilvl w:val="0"/>
          <w:numId w:val="1001"/>
        </w:numPr>
        <w:pStyle w:val="Compact"/>
      </w:pPr>
      <w:r>
        <w:t xml:space="preserve">分类工作点与 Risk10 工作点：FSR 0.47% 是三种子分类均值，5.21% 是固定主策略，不能混用。</w:t>
      </w:r>
    </w:p>
    <w:p>
      <w:pPr>
        <w:numPr>
          <w:ilvl w:val="0"/>
          <w:numId w:val="1001"/>
        </w:numPr>
        <w:pStyle w:val="Compact"/>
      </w:pPr>
      <w:r>
        <w:t xml:space="preserve">Judge-512/Full：FSR 3.14%/2.10%，UER 81.27%/85.70%；解释保守判定。</w:t>
      </w:r>
    </w:p>
    <w:p>
      <w:pPr>
        <w:numPr>
          <w:ilvl w:val="0"/>
          <w:numId w:val="1001"/>
        </w:numPr>
        <w:pStyle w:val="Compact"/>
      </w:pPr>
      <w:r>
        <w:t xml:space="preserve">Router：Macro F1 0.6316，Medium 预测为零；准确率不能替代类别分析。</w:t>
      </w:r>
    </w:p>
    <w:p>
      <w:pPr>
        <w:numPr>
          <w:ilvl w:val="0"/>
          <w:numId w:val="1001"/>
        </w:numPr>
        <w:pStyle w:val="Compact"/>
      </w:pPr>
      <w:r>
        <w:t xml:space="preserve">同一 Dev 下的覆盖与成本：FixedHeavy 20.254 chunks/36.60% 覆盖；Router 15.069/34.00%；Risk10 14.3385/35.15%。</w:t>
      </w:r>
    </w:p>
    <w:p>
      <w:pPr>
        <w:numPr>
          <w:ilvl w:val="0"/>
          <w:numId w:val="1001"/>
        </w:numPr>
        <w:pStyle w:val="Compact"/>
      </w:pPr>
      <w:r>
        <w:t xml:space="preserve">总体 FSR 与可恢复误停：Risk10 RFSR 26.13%；总结边界与 Heldout 状态。</w:t>
      </w:r>
    </w:p>
    <w:bookmarkEnd w:id="23"/>
    <w:bookmarkStart w:id="24" w:name="第三次冻结策略的-heldout-检验"/>
    <w:p>
      <w:pPr>
        <w:pStyle w:val="Heading3"/>
      </w:pPr>
      <w:r>
        <w:t xml:space="preserve">第三次：冻结策略的 Heldout 检验</w:t>
      </w:r>
    </w:p>
    <w:p>
      <w:pPr>
        <w:pStyle w:val="FirstParagraph"/>
      </w:pPr>
      <w:r>
        <w:t xml:space="preserve">准备八页：冻结与授权链；样本和逐样本完整性；分类基线；风险指标；问答 EM/F1；成本与测量方法；配对置信区间及失败案例；支持/不支持的主张。没有正式结果时改为完整性与执行进展汇报，不填预测数字。</w:t>
      </w:r>
    </w:p>
    <w:bookmarkEnd w:id="24"/>
    <w:bookmarkStart w:id="25" w:name="第四次论文怎么组织"/>
    <w:p>
      <w:pPr>
        <w:pStyle w:val="Heading3"/>
      </w:pPr>
      <w:r>
        <w:t xml:space="preserve">第四次：论文怎么组织</w:t>
      </w:r>
    </w:p>
    <w:p>
      <w:pPr>
        <w:pStyle w:val="FirstParagraph"/>
      </w:pPr>
      <w:r>
        <w:t xml:space="preserve">准备六页：问题定义；方法；实验公平性；主要证据；负结果与局限；写作和复现清单。建议研究主线为</w:t>
      </w:r>
      <w:r>
        <w:t xml:space="preserve">“</w:t>
      </w:r>
      <w:r>
        <w:t xml:space="preserve">证据充分性驱动的自适应检索及风险—效率边界</w:t>
      </w:r>
      <w:r>
        <w:t xml:space="preserve">”</w:t>
      </w:r>
      <w:r>
        <w:t xml:space="preserve">，不将温度校准和辅助任务都包装成已证实有效的创新。</w:t>
      </w:r>
    </w:p>
    <w:bookmarkEnd w:id="25"/>
    <w:bookmarkEnd w:id="26"/>
    <w:bookmarkStart w:id="27" w:name="五重要证据来源"/>
    <w:p>
      <w:pPr>
        <w:pStyle w:val="Heading2"/>
      </w:pPr>
      <w:r>
        <w:t xml:space="preserve">五、重要证据来源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RAG/docs/phase3a_closing_report.md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RAG/docs/phase3b_closing_report.md</w:t>
      </w:r>
      <w:r>
        <w:t xml:space="preserve">、</w:t>
      </w:r>
      <w:r>
        <w:rPr>
          <w:rStyle w:val="VerbatimChar"/>
        </w:rPr>
        <w:t xml:space="preserve">phase3b_analysis.md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RAG/docs/phase4/2wiki_dataset_audit.md</w:t>
      </w:r>
      <w:r>
        <w:t xml:space="preserve">、</w:t>
      </w:r>
      <w:r>
        <w:rPr>
          <w:rStyle w:val="VerbatimChar"/>
        </w:rPr>
        <w:t xml:space="preserve">2wiki_corpus_audit.md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RAG/docs/phase4/2wiki_retrieval_ceiling_analysis.md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RAG/docs/phase4/2wiki_controller_dev_analysis.md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RAG/docs/phase4/llm_judge_analysis.md</w:t>
      </w:r>
      <w:r>
        <w:t xml:space="preserve">、</w:t>
      </w:r>
      <w:r>
        <w:rPr>
          <w:rStyle w:val="VerbatimChar"/>
        </w:rPr>
        <w:t xml:space="preserve">adaptive_rag_dev_analysis.md</w:t>
      </w:r>
    </w:p>
    <w:p>
      <w:pPr>
        <w:pStyle w:val="FirstParagraph"/>
      </w:pPr>
      <w:r>
        <w:t xml:space="preserve">注意：检索上限旧报告仍写 RFSR 待补充；已完成的风险工作点诊断以 Controller Dev 报告为准。共有语料包含官方 Train/Dev context；Heldout 锁定指效果评价和调参边界，不代表从未读取原始文件。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2026-09-15T02:32:00Z</dcterms:created>
  <dcterms:modified xsi:type="dcterms:W3CDTF">2026-09-15T02:32:00Z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