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sz w:val="24"/>
        </w:rPr>
        <w:t xml:space="preserve">Geographic proxies are the most efficient indicators of within-LCZ heat exposure heterogeneity in the Greater Bay Area: an identification-aware Gini decomposition framework (WUDAPT-FUSE)</w:t>
      </w:r>
    </w:p>
    <w:p>
      <w:pPr>
        <w:pStyle w:val="Author"/>
      </w:pPr>
      <w:r>
        <w:rPr>
          <w:rFonts w:ascii="Times New Roman" w:hAnsi="Times New Roman" w:cs="Times New Roman" w:eastAsia="Times New Roman"/>
          <w:sz w:val="24"/>
        </w:rPr>
        <w:t xml:space="preserve">Yanhuo Luo</w:t>
      </w:r>
      <w:r>
        <w:rPr>
          <w:rFonts w:ascii="Times New Roman" w:hAnsi="Times New Roman" w:cs="Times New Roman" w:eastAsia="Times New Roman"/>
          <w:sz w:val="24"/>
          <w:vertAlign w:val="superscript"/>
        </w:rPr>
        <w:t xml:space="preserve">a,*</w:t>
      </w:r>
    </w:p>
    <w:p>
      <w:pPr>
        <w:pStyle w:val="Date"/>
      </w:pPr>
      <w:r>
        <w:rPr>
          <w:rFonts w:ascii="Times New Roman" w:hAnsi="Times New Roman" w:cs="Times New Roman" w:eastAsia="Times New Roman"/>
          <w:sz w:val="24"/>
        </w:rPr>
        <w:t xml:space="preserve">May 2026</w:t>
      </w:r>
    </w:p>
    <w:p>
      <w:pPr>
        <w:pStyle w:val="FirstParagraph"/>
        <w:spacing w:line="480" w:lineRule="auto" w:before="0" w:after="0"/>
        <w:ind w:firstLine="0"/>
        <w:jc w:val="left"/>
      </w:pPr>
      <w:r>
        <w:rPr>
          <w:rFonts w:ascii="Times New Roman" w:hAnsi="Times New Roman" w:cs="Times New Roman" w:eastAsia="Times New Roman"/>
          <w:b/>
          <w:bCs/>
          <w:sz w:val="24"/>
        </w:rPr>
        <w:t xml:space="preserve">Affiliation</w:t>
      </w:r>
    </w:p>
    <w:p>
      <w:pPr>
        <w:pStyle w:val="BodyText"/>
        <w:spacing w:line="480" w:lineRule="auto" w:before="0" w:after="0"/>
        <w:ind w:firstLine="0"/>
        <w:jc w:val="left"/>
      </w:pPr>
      <w:r>
        <w:rPr>
          <w:rFonts w:ascii="Times New Roman" w:hAnsi="Times New Roman" w:cs="Times New Roman" w:eastAsia="Times New Roman"/>
          <w:sz w:val="24"/>
          <w:vertAlign w:val="superscript"/>
        </w:rPr>
        <w:t xml:space="preserv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Institute for Advanced Studies, University of Malaya, 50603 Kuala Lumpur, Malaysia</w:t>
      </w:r>
    </w:p>
    <w:p>
      <w:pPr>
        <w:pStyle w:val="BodyText"/>
        <w:spacing w:line="480" w:lineRule="auto" w:before="0" w:after="0"/>
        <w:ind w:firstLine="0"/>
        <w:jc w:val="left"/>
      </w:pPr>
      <w:r>
        <w:rPr>
          <w:rFonts w:ascii="Times New Roman" w:hAnsi="Times New Roman" w:cs="Times New Roman" w:eastAsia="Times New Roman"/>
          <w:sz w:val="24"/>
        </w:rPr>
        <w:t xml:space="preserve">* Corresponding author. E-mail address: s2134612@siswa.um.edu.my</w:t>
      </w:r>
    </w:p>
    <w:p>
      <w:pPr>
        <w:spacing w:line="480" w:lineRule="auto" w:before="0" w:after="0"/>
        <w:ind w:firstLine="0"/>
        <w:jc w:val="left"/>
      </w:pPr>
      <w:r>
        <w:rPr>
          <w:rFonts w:ascii="Times New Roman" w:hAnsi="Times New Roman" w:cs="Times New Roman" w:eastAsia="Times New Roman"/>
          <w:sz w:val="24"/>
        </w:rPr>
        <w:pict>
          <v:rect style="width:0;height:1.5pt" o:hralign="center" o:hrstd="t" o:hr="t"/>
        </w:pict>
      </w:r>
    </w:p>
    <w:bookmarkStart w:id="9" w:name="highlights"/>
    <w:p>
      <w:pPr>
        <w:pStyle w:val="Heading1"/>
        <w:spacing w:line="480" w:lineRule="auto" w:before="480" w:after="240"/>
        <w:ind w:firstLine="0"/>
        <w:jc w:val="left"/>
      </w:pPr>
      <w:r>
        <w:rPr>
          <w:rFonts w:ascii="Times New Roman" w:hAnsi="Times New Roman" w:cs="Times New Roman" w:eastAsia="Times New Roman"/>
          <w:b/>
          <w:sz w:val="24"/>
        </w:rPr>
        <w:t xml:space="preserve">Highlights</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A 4-stage pipeline (WUDAPT-FUSE) tests four explanations of intra-LCZ heat inequality</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Within-class share is 83.5% of total Gini (86.4% in built-up subset)</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Morphology subcategories absorb only 1.0 pp of the built-up within-class share</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Topology and form-plus-topology hybrid each fail the 5-pp threshold</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Coast and mountain distance reduce within-class Gini by 10.8 pp (PASS)</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City compactness moderates the geographic mechanism across three GBA cities</w:t>
      </w:r>
    </w:p>
    <w:p>
      <w:pPr>
        <w:spacing w:line="480" w:lineRule="auto" w:before="0" w:after="0"/>
        <w:ind w:firstLine="0"/>
        <w:jc w:val="left"/>
      </w:pPr>
      <w:r>
        <w:rPr>
          <w:rFonts w:ascii="Times New Roman" w:hAnsi="Times New Roman" w:cs="Times New Roman" w:eastAsia="Times New Roman"/>
          <w:sz w:val="24"/>
        </w:rPr>
        <w:pict>
          <v:rect style="width:0;height:1.5pt" o:hralign="center" o:hrstd="t" o:hr="t"/>
        </w:pict>
      </w:r>
    </w:p>
    <w:bookmarkEnd w:id="9"/>
    <w:bookmarkStart w:id="10" w:name="abstract"/>
    <w:p>
      <w:pPr>
        <w:pStyle w:val="Heading1"/>
        <w:spacing w:line="480" w:lineRule="auto" w:before="480" w:after="240"/>
        <w:ind w:firstLine="0"/>
        <w:jc w:val="left"/>
      </w:pPr>
      <w:r>
        <w:rPr>
          <w:rFonts w:ascii="Times New Roman" w:hAnsi="Times New Roman" w:cs="Times New Roman" w:eastAsia="Times New Roman"/>
          <w:b/>
          <w:sz w:val="24"/>
        </w:rPr>
        <w:t xml:space="preserve">Abstract</w:t>
      </w:r>
    </w:p>
    <w:p>
      <w:pPr>
        <w:pStyle w:val="FirstParagraph"/>
        <w:spacing w:line="480" w:lineRule="auto" w:before="0" w:after="0"/>
        <w:ind w:firstLine="0"/>
        <w:jc w:val="left"/>
      </w:pPr>
      <w:r>
        <w:rPr>
          <w:rFonts w:ascii="Times New Roman" w:hAnsi="Times New Roman" w:cs="Times New Roman" w:eastAsia="Times New Roman"/>
          <w:sz w:val="24"/>
        </w:rPr>
        <w:t xml:space="preserve">Local Climate Zone (LCZ) frameworks are widely used to map urban thermal differences, and recent work suggests morphology-driven subdivision of each LCZ class can resolve fine-scale heat exposure. We tested this hypothesis and three alternatives at 100-m scale in three Greater Bay Area cities (Shenzhen, Guangzhou, Dongguan; 33 million residents). Using ERA5-HEAT, the Demuzere global LCZ map, WorldPop 2020, and 151,896 OpenStreetMap building footprints, we built a workstation-runnable framework (WUDAPT-FUSE) synthesising hourly 100-m UTCI through deviation injection, complemented by an identification diagnostic that decomposes UTCI variance by (parent ERA5 cell × LCZ class) groups: ~37 % is structurally determined by parent-cell + LCZ membership, and ~63 % is residual heterogeneity available to candidate explanatory features. Using population-weighted Gini coefficients and Pyatt–Yitzhaki decomposition, we tested four feature families: H1 morphology (8 OSM parameters), H2 topology (5 persistent-homology proxies), H3 hybrid form-plus-topology (13 features), and H4 geographic position (elevation-based mountain distance, coastline distance, elevation). Heat Degree Hours Gini reached 0.057, with 83.5 % within-class inequality (86.4 % built-up subset). Refining nine built-up classes into 39 morphology subcategories reduced the within-class share by only 1.0 pp; topology added 0.2 pp and the hybrid scheme 0.9 pp—all below the 5-pp threshold. Geographic position achieved a 10.8-pp reduction, indicating that geographic proxies are the most efficient indicators of intra-group variability among the families tested. Diurnal patterns are consistent with sea-breeze (day) and katabatic-flow (night) signatures, and results persist across four seasons of 2020. Cross-city transfer passed in 4/4 Shenzhen and 3/4 Dongguan seasons but failed in Guangzhou (0/4), with city compactness as a candidate moderator (N = 3). Because morphology was not directly injected into the synthesis, results characterise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feature explanatory efficiency under deviation-injected identification</w:t>
      </w:r>
      <w:r>
        <w:rPr>
          <w:rFonts w:ascii="Times New Roman" w:hAnsi="Times New Roman" w:cs="Times New Roman" w:eastAsia="Times New Roman"/>
          <w:sz w:val="24"/>
        </w:rPr>
        <w:t xml:space="preserve">, not independent causal drivers. Within this scope, geographic proxies dominate morphological and topological subcategorization, and adaptation prioritisation should accordingly weight geographic factors first.</w:t>
      </w:r>
    </w:p>
    <w:bookmarkEnd w:id="10"/>
    <w:bookmarkStart w:id="11" w:name="keywords"/>
    <w:p>
      <w:pPr>
        <w:pStyle w:val="Heading1"/>
        <w:spacing w:line="480" w:lineRule="auto" w:before="480" w:after="240"/>
        <w:ind w:firstLine="0"/>
        <w:jc w:val="left"/>
      </w:pPr>
      <w:r>
        <w:rPr>
          <w:rFonts w:ascii="Times New Roman" w:hAnsi="Times New Roman" w:cs="Times New Roman" w:eastAsia="Times New Roman"/>
          <w:b/>
          <w:sz w:val="24"/>
        </w:rPr>
        <w:t xml:space="preserve">Keywords</w:t>
      </w:r>
    </w:p>
    <w:p>
      <w:pPr>
        <w:pStyle w:val="FirstParagraph"/>
        <w:spacing w:line="480" w:lineRule="auto" w:before="0" w:after="0"/>
        <w:ind w:firstLine="0"/>
        <w:jc w:val="left"/>
      </w:pPr>
      <w:r>
        <w:rPr>
          <w:rFonts w:ascii="Times New Roman" w:hAnsi="Times New Roman" w:cs="Times New Roman" w:eastAsia="Times New Roman"/>
          <w:sz w:val="24"/>
        </w:rPr>
        <w:t xml:space="preserve">urban heat inequality; Local Climate Zone (LCZ); Universal Thermal Climate Index (UTCI); Gini decomposition; Greater Bay Area; geographic position; sea breeze; topological data analysis</w:t>
      </w:r>
    </w:p>
    <w:bookmarkEnd w:id="11"/>
    <w:bookmarkStart w:id="12" w:name="introduction"/>
    <w:p>
      <w:pPr>
        <w:pStyle w:val="Heading1"/>
        <w:spacing w:line="480" w:lineRule="auto" w:before="480" w:after="240"/>
        <w:ind w:firstLine="0"/>
        <w:jc w:val="left"/>
      </w:pPr>
      <w:r>
        <w:rPr>
          <w:rFonts w:ascii="Times New Roman" w:hAnsi="Times New Roman" w:cs="Times New Roman" w:eastAsia="Times New Roman"/>
          <w:b/>
          <w:sz w:val="24"/>
        </w:rPr>
        <w:t xml:space="preserve">1. Introduction</w:t>
      </w:r>
    </w:p>
    <w:p>
      <w:pPr>
        <w:pStyle w:val="FirstParagraph"/>
        <w:spacing w:line="480" w:lineRule="auto" w:before="0" w:after="0"/>
        <w:ind w:firstLine="0"/>
        <w:jc w:val="left"/>
      </w:pPr>
      <w:r>
        <w:rPr>
          <w:rFonts w:ascii="Times New Roman" w:hAnsi="Times New Roman" w:cs="Times New Roman" w:eastAsia="Times New Roman"/>
          <w:sz w:val="24"/>
        </w:rPr>
        <w:t xml:space="preserve">Cities now host more than half of the world’s people, and many cities face hotter summers under climate change (Patz et al., 2005; Romanello et al., 2022). Heat-attributable mortality is rising globally (Gasparrini et al., 2015), and urban populations face the bulk of this exposure (Tuholske et al., 2021). Urban heat hits people unevenly, and this raises clear questions about who is exposed and where: prior multi-city analyses in the United States have demonstrated that heat-island intensity is disproportionately concentrated in lower-income and minority neighbourhoods (Mitchell &amp; Chakraborty, 2015; Chakraborty et al., 2019; Hsu et al., 2021), and urban form has been shown to amplify extreme-heat risk (Stone et al., 2010).</w:t>
      </w:r>
    </w:p>
    <w:p>
      <w:pPr>
        <w:pStyle w:val="BodyText"/>
        <w:spacing w:line="480" w:lineRule="auto" w:before="0" w:after="0"/>
        <w:ind w:firstLine="0"/>
        <w:jc w:val="left"/>
      </w:pPr>
      <w:r>
        <w:rPr>
          <w:rFonts w:ascii="Times New Roman" w:hAnsi="Times New Roman" w:cs="Times New Roman" w:eastAsia="Times New Roman"/>
          <w:sz w:val="24"/>
        </w:rPr>
        <w:t xml:space="preserve">To map this unevenness, researchers often use Local Climate Zones (LCZs). The LCZ framework, introduced by Stewart and Oke (2012), sorts urban surfaces into 17 standard classes based on land cover and urban form, and has since been operationalised by the World Urban Database and Access Portal Tools initiative (Bechtel et al., 2015, 2019). A global 100-m LCZ map is now available (Demuzere et al., 2022), with continental antecedents for Europe (Demuzere et al., 2019) and the conterminous United States (Demuzere et al., 2020). Studies have used LCZs to quantify urban heat island effects, surface temperatures, energy demand, and outdoor comfort (Cai et al., 2018; Manoli et al., 2019), building on the canonical urban-climate framework of Oke (1982) and Oke et al. (2017) and on satellite-based thermal observations (Voogt &amp; Oke, 2003; Zhao et al., 2014).</w:t>
      </w:r>
    </w:p>
    <w:p>
      <w:pPr>
        <w:pStyle w:val="BodyText"/>
        <w:spacing w:line="480" w:lineRule="auto" w:before="0" w:after="0"/>
        <w:ind w:firstLine="0"/>
        <w:jc w:val="left"/>
      </w:pPr>
      <w:r>
        <w:rPr>
          <w:rFonts w:ascii="Times New Roman" w:hAnsi="Times New Roman" w:cs="Times New Roman" w:eastAsia="Times New Roman"/>
          <w:sz w:val="24"/>
        </w:rPr>
        <w:t xml:space="preserve">But a single LCZ class still hides a lot of detail. Two patches both labeled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mid-rise”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 differ in building height, density, and street width. To address this, recent papers split each LCZ class into 2–5 morphology-driven subcategories (Huang et al., 2026; Liu et al., 2026). The hidden assumption is simple: if we cluster grid cells by urban form, the new groups should explain the within-class differences in microclimate. This assumption has not been tested at large scale through an inequality lens.</w:t>
      </w:r>
    </w:p>
    <w:p>
      <w:pPr>
        <w:pStyle w:val="BodyText"/>
        <w:spacing w:line="480" w:lineRule="auto" w:before="0" w:after="0"/>
        <w:ind w:firstLine="0"/>
        <w:jc w:val="left"/>
      </w:pPr>
      <w:r>
        <w:rPr>
          <w:rFonts w:ascii="Times New Roman" w:hAnsi="Times New Roman" w:cs="Times New Roman" w:eastAsia="Times New Roman"/>
          <w:sz w:val="24"/>
        </w:rPr>
        <w:t xml:space="preserve">We close this gap. Our central question is straightforward: can morphology-driven subcategorization absorb the inequality that lies inside each LCZ class?</w:t>
      </w:r>
    </w:p>
    <w:p>
      <w:pPr>
        <w:pStyle w:val="BodyText"/>
        <w:spacing w:line="480" w:lineRule="auto" w:before="0" w:after="0"/>
        <w:ind w:firstLine="0"/>
        <w:jc w:val="left"/>
      </w:pPr>
      <w:r>
        <w:rPr>
          <w:rFonts w:ascii="Times New Roman" w:hAnsi="Times New Roman" w:cs="Times New Roman" w:eastAsia="Times New Roman"/>
          <w:sz w:val="24"/>
        </w:rPr>
        <w:t xml:space="preserve">We answer this question for Shenzhen, China (14.67 million residents) for July 2020. Our contributions are four:</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workstation-runnable framework.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WUDAPT-FUSE fuses four open data sources into one 100-m grid and synthesizes hourly UTCI for the whole month. The pipeline runs end-to-end in under 5 minutes on a single GPU.</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clean empirical test.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extract 151,896 building footprints from OpenStreetMap, compute eight morphological parameters per 100-m cell, and run k-means inside each built-up LCZ class. We obtain 39 subcategories—1.5 times more than recent work on the same city—and apply Pyatt–Yitzhaki Gini decomposition.</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clear negative result.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accounts for 83.5% of the total Heat Degree Hours Gini at the city scale, and rises to 86.4% when the analysis is restricted to the nine built-up LCZ classes (where morphology-driven subcategorization is meaningful). Subcategorization reduces the built-up within-class share by only 1.0 percentage point (86.4% → 85.4%). Morphology alone does not explain the gap.</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redirected priority list.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Hidden inequality is largest in LCZ 3 (compact low-rise) and LCZ 10 (heavy industry), not in the visible high-rise CBD. Adaptation efforts should target these zones.</w:t>
      </w:r>
    </w:p>
    <w:p>
      <w:pPr>
        <w:pStyle w:val="FirstParagraph"/>
        <w:spacing w:line="480" w:lineRule="auto" w:before="0" w:after="0"/>
        <w:ind w:firstLine="0"/>
        <w:jc w:val="left"/>
      </w:pPr>
      <w:r>
        <w:rPr>
          <w:rFonts w:ascii="Times New Roman" w:hAnsi="Times New Roman" w:cs="Times New Roman" w:eastAsia="Times New Roman"/>
          <w:sz w:val="24"/>
        </w:rPr>
        <w:t xml:space="preserve">The rest of the paper proceeds as follows. Methods describes data, fusion, and analysis. Results presents six findings, with the negative test of subcategorization as the central one. Discussion considers why morphology alone falls short and outlines next steps for the broader WUDAPT-FUSE program.</w:t>
      </w:r>
    </w:p>
    <w:bookmarkEnd w:id="12"/>
    <w:bookmarkStart w:id="28" w:name="methods"/>
    <w:p>
      <w:pPr>
        <w:pStyle w:val="Heading1"/>
        <w:spacing w:line="480" w:lineRule="auto" w:before="480" w:after="240"/>
        <w:ind w:firstLine="0"/>
        <w:jc w:val="left"/>
      </w:pPr>
      <w:r>
        <w:rPr>
          <w:rFonts w:ascii="Times New Roman" w:hAnsi="Times New Roman" w:cs="Times New Roman" w:eastAsia="Times New Roman"/>
          <w:b/>
          <w:sz w:val="24"/>
        </w:rPr>
        <w:t xml:space="preserve">2. Methods</w:t>
      </w:r>
    </w:p>
    <w:bookmarkStart w:id="13" w:name="study-area-and-overall-design"/>
    <w:p>
      <w:pPr>
        <w:pStyle w:val="Heading2"/>
        <w:spacing w:line="480" w:lineRule="auto" w:before="360" w:after="180"/>
        <w:ind w:firstLine="0"/>
        <w:jc w:val="left"/>
      </w:pPr>
      <w:r>
        <w:rPr>
          <w:rFonts w:ascii="Times New Roman" w:hAnsi="Times New Roman" w:cs="Times New Roman" w:eastAsia="Times New Roman"/>
          <w:b/>
          <w:sz w:val="24"/>
        </w:rPr>
        <w:t xml:space="preserve">2.1 Study area and overall design</w:t>
      </w:r>
    </w:p>
    <w:p>
      <w:pPr>
        <w:pStyle w:val="FirstParagraph"/>
        <w:spacing w:line="480" w:lineRule="auto" w:before="0" w:after="0"/>
        <w:ind w:firstLine="0"/>
        <w:jc w:val="left"/>
      </w:pPr>
      <w:r>
        <w:rPr>
          <w:rFonts w:ascii="Times New Roman" w:hAnsi="Times New Roman" w:cs="Times New Roman" w:eastAsia="Times New Roman"/>
          <w:sz w:val="24"/>
        </w:rPr>
        <w:t xml:space="preserve">The study area is Shenzhen, in the Pearl River Delta, China (113.7°–114.7° E, 22.4°–22.9° N; Fig. 1a). Shenzhen has 17.6 million residents and a humid subtropical climate. The city has a clear north–south gradient: dense urban districts in the south, mountain forests in the north. Figure 1 summarises the three 100-m gridded layers underpinning the WUDAPT-FUSE pipeline: (a) Local Climate Zones overlaid on ERA5-HEAT 25-km parent cells, (b) WorldPop 2020 gridded population, and (c) the synthesised 100-m UTCI mean for July 2020.</w:t>
      </w:r>
    </w:p>
    <w:p>
      <w:pPr>
        <w:pStyle w:val="BodyText"/>
        <w:spacing w:line="480" w:lineRule="auto" w:before="0" w:after="0"/>
        <w:ind w:firstLine="0"/>
        <w:jc w:val="left"/>
      </w:pPr>
      <w:r>
        <w:rPr>
          <w:rFonts w:ascii="Times New Roman" w:hAnsi="Times New Roman" w:cs="Times New Roman" w:eastAsia="Times New Roman"/>
          <w:sz w:val="24"/>
        </w:rPr>
        <w:t xml:space="preserve">The pipeline has four stages:</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Pull and align four data sources on a common 100-m grid.</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Build hourly 100-m UTCI through deviation injection.</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Cluster urban morphology into LCZ subcategories.</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Apply population-weighted Gini decomposition.</w:t>
      </w:r>
    </w:p>
    <w:p>
      <w:pPr>
        <w:pStyle w:val="FirstParagraph"/>
        <w:spacing w:line="480" w:lineRule="auto" w:before="0" w:after="0"/>
        <w:ind w:firstLine="0"/>
        <w:jc w:val="left"/>
      </w:pPr>
      <w:r>
        <w:rPr>
          <w:rFonts w:ascii="Times New Roman" w:hAnsi="Times New Roman" w:cs="Times New Roman" w:eastAsia="Times New Roman"/>
          <w:sz w:val="24"/>
        </w:rPr>
        <w:t xml:space="preserve">All raster data are reprojected to UTM Zone 50N (EPSG:32650) and resampled to 100 m. The aligned grid has 575 rows by 1,040 columns (598,000 cells).</w:t>
      </w:r>
    </w:p>
    <w:bookmarkEnd w:id="13"/>
    <w:bookmarkStart w:id="14" w:name="data-sources"/>
    <w:p>
      <w:pPr>
        <w:pStyle w:val="Heading2"/>
        <w:spacing w:line="480" w:lineRule="auto" w:before="360" w:after="180"/>
        <w:ind w:firstLine="0"/>
        <w:jc w:val="left"/>
      </w:pPr>
      <w:r>
        <w:rPr>
          <w:rFonts w:ascii="Times New Roman" w:hAnsi="Times New Roman" w:cs="Times New Roman" w:eastAsia="Times New Roman"/>
          <w:b/>
          <w:sz w:val="24"/>
        </w:rPr>
        <w:t xml:space="preserve">2.2 Data sources</w:t>
      </w:r>
    </w:p>
    <w:p>
      <w:pPr>
        <w:pStyle w:val="FirstParagraph"/>
        <w:spacing w:line="480" w:lineRule="auto" w:before="0" w:after="0"/>
        <w:ind w:firstLine="0"/>
        <w:jc w:val="left"/>
      </w:pPr>
      <w:r>
        <w:rPr>
          <w:rFonts w:ascii="Times New Roman" w:hAnsi="Times New Roman" w:cs="Times New Roman" w:eastAsia="Times New Roman"/>
          <w:b/>
          <w:bCs/>
          <w:sz w:val="24"/>
        </w:rPr>
        <w:t xml:space="preserve">LCZ 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use the global 100-m LCZ map by Demuzere et al. (2022), filtered with morphological smoothing. After clipping and reprojection to UTM, the Shenzhen subset has 442,384 valid cells: 54.6% built-up (LCZ 1–10) and 45.4% natural (LCZ 11–17).</w:t>
      </w:r>
    </w:p>
    <w:p>
      <w:pPr>
        <w:pStyle w:val="BodyText"/>
        <w:spacing w:line="480" w:lineRule="auto" w:before="0" w:after="0"/>
        <w:ind w:firstLine="0"/>
        <w:jc w:val="left"/>
      </w:pPr>
      <w:r>
        <w:rPr>
          <w:rFonts w:ascii="Times New Roman" w:hAnsi="Times New Roman" w:cs="Times New Roman" w:eastAsia="Times New Roman"/>
          <w:b/>
          <w:bCs/>
          <w:sz w:val="24"/>
        </w:rPr>
        <w:t xml:space="preserve">ERA5-HEAT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Hourly Universal Thermal Climate Index (UTCI; Bröde et al., 2012; Jendritzky et al., 2012; Błażejczyk et al., 2013) at about 25-km resolution comes from ERA5-HEAT (Di Napoli et al., 2020, 2021), available through the Copernicus Climate Data Store as part of the ERA5 reanalysis (Hersbach et al., 2020). We accessed dataset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derived-utci-historical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version 1.1 for July 2020 (744 hours). Eight ERA5 cells (2 latitudes × 4 longitudes) cover Shenzhen.</w:t>
      </w:r>
    </w:p>
    <w:p>
      <w:pPr>
        <w:pStyle w:val="BodyText"/>
        <w:spacing w:line="480" w:lineRule="auto" w:before="0" w:after="0"/>
        <w:ind w:firstLine="0"/>
        <w:jc w:val="left"/>
      </w:pPr>
      <w:r>
        <w:rPr>
          <w:rFonts w:ascii="Times New Roman" w:hAnsi="Times New Roman" w:cs="Times New Roman" w:eastAsia="Times New Roman"/>
          <w:b/>
          <w:bCs/>
          <w:sz w:val="24"/>
        </w:rPr>
        <w:t xml:space="preserve">Population.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at 100 m comes from WorldPop 2020 (constrained version, China; Tatem, 2017; Stevens et al., 2015; Fig. 1b). The total over Shenzhen is 14.67 million; 14.30 million (97.5%) live within the nine built-up LCZ classes (1–6, 8–10) used for morphology-driven subcategorization in Section 2.5, with the remaining 0.37 million in non-built-up classes (water, forest, bare soil) that are excluded from the subcategory-level analysis but retained in the city-wide Gini decomposition (Section 3.2).</w:t>
      </w:r>
    </w:p>
    <w:p>
      <w:pPr>
        <w:pStyle w:val="BodyText"/>
        <w:spacing w:line="480" w:lineRule="auto" w:before="0" w:after="0"/>
        <w:ind w:firstLine="0"/>
        <w:jc w:val="left"/>
      </w:pPr>
      <w:r>
        <w:rPr>
          <w:rFonts w:ascii="Times New Roman" w:hAnsi="Times New Roman" w:cs="Times New Roman" w:eastAsia="Times New Roman"/>
          <w:b/>
          <w:bCs/>
          <w:sz w:val="24"/>
        </w:rPr>
        <w:t xml:space="preserve">Buildings.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pulled all building polygons in the Shenzhen bounding box from OpenStreetMap on 2026-05-06 using the OSMnx Python library (Boeing, 2017): 151,896 polygons. We read building height from the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building:height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field where present (28.9% of buildings), or from</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building:levels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3.0 m. For the remaining buildings, we filled in the city-wide median height (9.0 m).</w:t>
      </w:r>
    </w:p>
    <w:bookmarkEnd w:id="14"/>
    <w:bookmarkStart w:id="16" w:name="m-utci-synthesis"/>
    <w:p>
      <w:pPr>
        <w:pStyle w:val="Heading2"/>
        <w:spacing w:line="480" w:lineRule="auto" w:before="360" w:after="180"/>
        <w:ind w:firstLine="0"/>
        <w:jc w:val="left"/>
      </w:pPr>
      <w:r>
        <w:rPr>
          <w:rFonts w:ascii="Times New Roman" w:hAnsi="Times New Roman" w:cs="Times New Roman" w:eastAsia="Times New Roman"/>
          <w:b/>
          <w:sz w:val="24"/>
        </w:rPr>
        <w:t xml:space="preserve">2.3 100-m UTCI synthesis</w:t>
      </w:r>
    </w:p>
    <w:p>
      <w:pPr>
        <w:pStyle w:val="FirstParagraph"/>
        <w:spacing w:line="480" w:lineRule="auto" w:before="0" w:after="0"/>
        <w:ind w:firstLine="0"/>
        <w:jc w:val="left"/>
      </w:pPr>
      <w:r>
        <w:rPr>
          <w:rFonts w:ascii="Times New Roman" w:hAnsi="Times New Roman" w:cs="Times New Roman" w:eastAsia="Times New Roman"/>
          <w:sz w:val="24"/>
        </w:rPr>
        <w:t xml:space="preserve">ERA5-HEAT UTCI at 25 km is too coarse for neighborhood analysis. We synthesize 100-m hourly UTCI as:</w:t>
      </w:r>
    </w:p>
    <w:p>
      <w:pPr>
        <w:pStyle w:val="BodyText"/>
        <w:spacing w:line="480" w:lineRule="auto" w:before="0" w:after="0"/>
        <w:ind w:firstLine="0"/>
        <w:jc w:val="left"/>
      </w:pPr>
      <m:oMathPara>
        <m:oMathParaPr>
          <m:jc m:val="center"/>
        </m:oMathParaPr>
        <m:oMath>
          <m:sSub>
            <m:e>
              <m:r>
                <m:rPr>
                  <m:sty m:val="p"/>
                </m:rPr>
                <m:t>U</m:t>
              </m:r>
              <m:r>
                <m:rPr>
                  <m:sty m:val="p"/>
                </m:rPr>
                <m:t>T</m:t>
              </m:r>
              <m:r>
                <m:rPr>
                  <m:sty m:val="p"/>
                </m:rPr>
                <m:t>C</m:t>
              </m:r>
              <m:r>
                <m:rPr>
                  <m:sty m:val="p"/>
                </m:rPr>
                <m:t>I</m:t>
              </m:r>
            </m:e>
            <m:sub>
              <m:r>
                <m:t>100</m:t>
              </m:r>
              <m:r>
                <m:t>m</m:t>
              </m:r>
            </m:sub>
          </m:sSub>
          <m:r>
            <m:rPr>
              <m:sty m:val="p"/>
            </m:rPr>
            <m:t>(</m:t>
          </m:r>
          <m:r>
            <m:t>i</m:t>
          </m:r>
          <m:r>
            <m:rPr>
              <m:sty m:val="p"/>
            </m:rPr>
            <m:t>,</m:t>
          </m:r>
          <m:r>
            <m:t>t</m:t>
          </m:r>
          <m:r>
            <m:rPr>
              <m:sty m:val="p"/>
            </m:rPr>
            <m:t>)</m:t>
          </m:r>
          <m:r>
            <m:rPr>
              <m:sty m:val="p"/>
            </m:rPr>
            <m:t>=</m:t>
          </m:r>
          <m:sSub>
            <m:e>
              <m:r>
                <m:rPr>
                  <m:sty m:val="p"/>
                </m:rPr>
                <m:t>U</m:t>
              </m:r>
              <m:r>
                <m:rPr>
                  <m:sty m:val="p"/>
                </m:rPr>
                <m:t>T</m:t>
              </m:r>
              <m:r>
                <m:rPr>
                  <m:sty m:val="p"/>
                </m:rPr>
                <m:t>C</m:t>
              </m:r>
              <m:r>
                <m:rPr>
                  <m:sty m:val="p"/>
                </m:rPr>
                <m:t>I</m:t>
              </m:r>
            </m:e>
            <m:sub>
              <m:r>
                <m:t>25</m:t>
              </m:r>
              <m:r>
                <m:t>k</m:t>
              </m:r>
              <m:r>
                <m:t>m</m:t>
              </m:r>
            </m:sub>
          </m:sSub>
          <m:r>
            <m:rPr>
              <m:sty m:val="p"/>
            </m:rPr>
            <m:t>(</m:t>
          </m:r>
          <m:r>
            <m:t>p</m:t>
          </m:r>
          <m:r>
            <m:rPr>
              <m:sty m:val="p"/>
            </m:rPr>
            <m:t>(</m:t>
          </m:r>
          <m:r>
            <m:t>i</m:t>
          </m:r>
          <m:r>
            <m:rPr>
              <m:sty m:val="p"/>
            </m:rPr>
            <m:t>)</m:t>
          </m:r>
          <m:r>
            <m:rPr>
              <m:sty m:val="p"/>
            </m:rPr>
            <m:t>,</m:t>
          </m:r>
          <m:r>
            <m:t>t</m:t>
          </m:r>
          <m:r>
            <m:rPr>
              <m:sty m:val="p"/>
            </m:rPr>
            <m:t>)</m:t>
          </m:r>
          <m:r>
            <m:rPr>
              <m:sty m:val="p"/>
            </m:rPr>
            <m:t>+</m:t>
          </m:r>
          <m:r>
            <m:rPr>
              <m:sty m:val="p"/>
            </m:rPr>
            <m:t>Δ</m:t>
          </m:r>
          <m:sSub>
            <m:e>
              <m:r>
                <m:t>T</m:t>
              </m:r>
            </m:e>
            <m:sub>
              <m:r>
                <m:t>L</m:t>
              </m:r>
              <m:r>
                <m:t>C</m:t>
              </m:r>
              <m:r>
                <m:t>Z</m:t>
              </m:r>
              <m:r>
                <m:rPr>
                  <m:sty m:val="p"/>
                </m:rPr>
                <m:t>(</m:t>
              </m:r>
              <m:r>
                <m:t>i</m:t>
              </m:r>
              <m:r>
                <m:rPr>
                  <m:sty m:val="p"/>
                </m:rPr>
                <m:t>)</m:t>
              </m:r>
            </m:sub>
          </m:sSub>
          <m:r>
            <m:rPr>
              <m:sty m:val="p"/>
            </m:rPr>
            <m:t>−</m:t>
          </m:r>
          <m:sSub>
            <m:e>
              <m:bar>
                <m:barPr>
                  <m:pos m:val="top"/>
                </m:barPr>
                <m:e>
                  <m:r>
                    <m:rPr>
                      <m:sty m:val="p"/>
                    </m:rPr>
                    <m:t>Δ</m:t>
                  </m:r>
                  <m:r>
                    <m:t>T</m:t>
                  </m:r>
                </m:e>
              </m:bar>
            </m:e>
            <m:sub>
              <m:r>
                <m:t>p</m:t>
              </m:r>
              <m:r>
                <m:rPr>
                  <m:sty m:val="p"/>
                </m:rPr>
                <m:t>(</m:t>
              </m:r>
              <m:r>
                <m:t>i</m:t>
              </m:r>
              <m:r>
                <m:rPr>
                  <m:sty m:val="p"/>
                </m:rPr>
                <m:t>)</m:t>
              </m:r>
            </m:sub>
          </m:sSub>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Here</w:t>
      </w:r>
      <w:r>
        <w:rPr>
          <w:rFonts w:ascii="Times New Roman" w:hAnsi="Times New Roman" w:cs="Times New Roman" w:eastAsia="Times New Roman"/>
          <w:sz w:val="24"/>
        </w:rPr>
        <w:t xml:space="preserve"> </w:t>
      </w:r>
      <m:oMath>
        <m:r>
          <m:t>p</m:t>
        </m:r>
        <m:r>
          <m:rPr>
            <m:sty m:val="p"/>
          </m:rPr>
          <m:t>(</m:t>
        </m:r>
        <m:r>
          <m:t>i</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parent ERA5 cell that contains 100-m grid</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Δ</m:t>
        </m:r>
        <m:sSub>
          <m:e>
            <m:r>
              <m:t>T</m:t>
            </m:r>
          </m:e>
          <m:sub>
            <m:r>
              <m:t>L</m:t>
            </m:r>
            <m:r>
              <m:t>C</m:t>
            </m:r>
            <m:r>
              <m:t>Z</m:t>
            </m:r>
            <m:r>
              <m:rPr>
                <m:sty m:val="p"/>
              </m:rPr>
              <m:t>(</m:t>
            </m:r>
            <m:r>
              <m:t>i</m:t>
            </m:r>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LCZ-specific anomaly relative to a 302 K baseline, taken from Huang et al. (2026, Table 4) for Shenzhen July.</w:t>
      </w:r>
      <w:r>
        <w:rPr>
          <w:rFonts w:ascii="Times New Roman" w:hAnsi="Times New Roman" w:cs="Times New Roman" w:eastAsia="Times New Roman"/>
          <w:sz w:val="24"/>
        </w:rPr>
        <w:t xml:space="preserve"> </w:t>
      </w:r>
      <m:oMath>
        <m:sSub>
          <m:e>
            <m:bar>
              <m:barPr>
                <m:pos m:val="top"/>
              </m:barPr>
              <m:e>
                <m:r>
                  <m:rPr>
                    <m:sty m:val="p"/>
                  </m:rPr>
                  <m:t>Δ</m:t>
                </m:r>
                <m:r>
                  <m:t>T</m:t>
                </m:r>
              </m:e>
            </m:bar>
          </m:e>
          <m:sub>
            <m:r>
              <m:t>p</m:t>
            </m:r>
            <m:r>
              <m:rPr>
                <m:sty m:val="p"/>
              </m:rPr>
              <m:t>(</m:t>
            </m:r>
            <m:r>
              <m:t>i</m:t>
            </m:r>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LCZ-weighted mean anomaly within parent cell</w:t>
      </w:r>
      <w:r>
        <w:rPr>
          <w:rFonts w:ascii="Times New Roman" w:hAnsi="Times New Roman" w:cs="Times New Roman" w:eastAsia="Times New Roman"/>
          <w:sz w:val="24"/>
        </w:rPr>
        <w:t xml:space="preserve"> </w:t>
      </w:r>
      <m:oMath>
        <m:r>
          <m:t>p</m:t>
        </m:r>
        <m:r>
          <m:rPr>
            <m:sty m:val="p"/>
          </m:rPr>
          <m:t>(</m:t>
        </m:r>
        <m:r>
          <m:t>i</m:t>
        </m:r>
        <m:r>
          <m:rPr>
            <m:sty m:val="p"/>
          </m:rPr>
          <m:t>)</m:t>
        </m:r>
      </m:oMath>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sz w:val="24"/>
        </w:rPr>
        <w:t xml:space="preserve">This method preserves two things at once. First, it keeps the time variation from ERA5. Second, it adds spatial detail at the LCZ-class level. The third term ensures that the city-mean UTCI matches ERA5 input (mass conservation).</w:t>
      </w:r>
    </w:p>
    <w:p>
      <w:pPr>
        <w:pStyle w:val="BodyText"/>
        <w:spacing w:line="480" w:lineRule="auto" w:before="0" w:after="0"/>
        <w:ind w:firstLine="0"/>
        <w:jc w:val="left"/>
      </w:pPr>
      <w:r>
        <w:rPr>
          <w:rFonts w:ascii="Times New Roman" w:hAnsi="Times New Roman" w:cs="Times New Roman" w:eastAsia="Times New Roman"/>
          <w:b/>
          <w:bCs/>
          <w:sz w:val="24"/>
        </w:rPr>
        <w:t xml:space="preserve">Transferability of</w:t>
      </w:r>
      <w:r>
        <w:rPr>
          <w:rFonts w:ascii="Times New Roman" w:hAnsi="Times New Roman" w:cs="Times New Roman" w:eastAsia="Times New Roman"/>
          <w:b/>
          <w:bCs/>
          <w:sz w:val="24"/>
        </w:rPr>
        <w:t xml:space="preserve"> </w:t>
      </w:r>
      <m:oMath>
        <m:r>
          <m:rPr>
            <m:sty m:val="p"/>
          </m:rPr>
          <m:t>Δ</m:t>
        </m:r>
        <m:sSub>
          <m:e>
            <m:r>
              <m:t>T</m:t>
            </m:r>
          </m:e>
          <m:sub>
            <m:r>
              <m:t>L</m:t>
            </m:r>
            <m:r>
              <m:t>C</m:t>
            </m:r>
            <m:r>
              <m:t>Z</m:t>
            </m:r>
          </m:sub>
        </m:sSub>
      </m:oMath>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across cities and seasons.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used here were derived for Shenzhen July. Because the cross-city analysis (Section 3.11) and the seasonal robustness analysis (Section 3.9) reuse the same ΔT vector for Guangzhou, Dongguan, and three additional months (January, April, October 2020), we treated this as an explicit assumption and tested its impact through a perturbation analysis. We re-ran Phase 6 (the six-scheme Gini decomposition, Section 3.7) under three alternative ΔT vectors: (i) ±15% uniform scaling of all</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(ii) ±25% uniform scaling; (iii) class-specific perturbation drawn independently from a normal distribution with</w:t>
      </w:r>
      <w:r>
        <w:rPr>
          <w:rFonts w:ascii="Times New Roman" w:hAnsi="Times New Roman" w:cs="Times New Roman" w:eastAsia="Times New Roman"/>
          <w:sz w:val="24"/>
        </w:rPr>
        <w:t xml:space="preserve"> </w:t>
      </w:r>
      <m:oMath>
        <m:r>
          <m:t>σ</m:t>
        </m:r>
        <m:r>
          <m:rPr>
            <m:sty m:val="p"/>
          </m:rPr>
          <m:t>=</m:t>
        </m:r>
        <m:r>
          <m:t>20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each class’s value. Across all three perturbation modes, the qualitative ranking of the four hypotheses (H4 geography ≫ H3 hybrid ≈ H1 morphology ≫ H2 topology) is preserved, and the absolute Gini reductions for the geography scheme remain in the 9–13 pp range (vs. the central estimate of 10.81 pp). Crucially, the binary pass / fail of each hypothesis at the 5 pp threshold (Section 2.6.1) is unchanged in 100% of perturbation trials for H1, H2, H3, and H4. We therefore report all reduction values with an implicit ±1.5 pp envelope reflecting this assumption, and we explicitly recommend that future applications to climates substantially different from subtropical GBA conditions (e.g., temperate or arid cities) re-derive</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local observations or reanalysis. We discuss this further in Section 4.4 (Limitations).</w:t>
      </w:r>
    </w:p>
    <w:p>
      <w:pPr>
        <w:pStyle w:val="BodyText"/>
        <w:spacing w:line="480" w:lineRule="auto" w:before="0" w:after="0"/>
        <w:ind w:firstLine="0"/>
        <w:jc w:val="left"/>
      </w:pPr>
      <w:r>
        <w:rPr>
          <w:rFonts w:ascii="Times New Roman" w:hAnsi="Times New Roman" w:cs="Times New Roman" w:eastAsia="Times New Roman"/>
          <w:sz w:val="24"/>
        </w:rPr>
        <w:t xml:space="preserve">For each 100-m cell, we computed:</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Hourly UTCI series for July 2020.</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TSD (Thermal Stress Duration): hours with UTCI &gt; 32 °C.</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HDH (Heat Degree Hours): the sum of</w:t>
      </w:r>
      <w:r>
        <w:rPr>
          <w:rFonts w:ascii="Times New Roman" w:hAnsi="Times New Roman" w:cs="Times New Roman" w:eastAsia="Times New Roman"/>
          <w:sz w:val="24"/>
        </w:rPr>
        <w:t xml:space="preserve"> </w:t>
      </w:r>
      <m:oMath>
        <m:r>
          <m:rPr>
            <m:sty m:val="p"/>
          </m:rPr>
          <m:t>max</m:t>
        </m:r>
        <m:r>
          <m:rPr>
            <m:sty m:val="p"/>
          </m:rPr>
          <m:t>(</m:t>
        </m:r>
        <m:sSub>
          <m:e>
            <m:r>
              <m:rPr>
                <m:sty m:val="p"/>
              </m:rPr>
              <m:t>U</m:t>
            </m:r>
            <m:r>
              <m:rPr>
                <m:sty m:val="p"/>
              </m:rPr>
              <m:t>T</m:t>
            </m:r>
            <m:r>
              <m:rPr>
                <m:sty m:val="p"/>
              </m:rPr>
              <m:t>C</m:t>
            </m:r>
            <m:r>
              <m:rPr>
                <m:sty m:val="p"/>
              </m:rPr>
              <m:t>I</m:t>
            </m:r>
          </m:e>
          <m:sub>
            <m:r>
              <m:t>i</m:t>
            </m:r>
            <m:r>
              <m:rPr>
                <m:sty m:val="p"/>
              </m:rPr>
              <m:t>,</m:t>
            </m:r>
            <m:r>
              <m:t>t</m:t>
            </m:r>
          </m:sub>
        </m:sSub>
        <m:r>
          <m:rPr>
            <m:sty m:val="p"/>
          </m:rPr>
          <m:t>−</m:t>
        </m:r>
        <m:r>
          <m:t>26</m:t>
        </m:r>
        <m:r>
          <m:rPr>
            <m:sty m:val="p"/>
          </m:rPr>
          <m:t>,</m:t>
        </m:r>
        <m:r>
          <m:t>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all hours.</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Maximum and 95th-percentile UTCI per cell.</w:t>
      </w:r>
    </w:p>
    <w:bookmarkStart w:id="15" w:name="validation-against-ground-observations"/>
    <w:p>
      <w:pPr>
        <w:pStyle w:val="Heading3"/>
        <w:spacing w:line="480" w:lineRule="auto" w:before="240" w:after="120"/>
        <w:ind w:firstLine="0"/>
        <w:jc w:val="left"/>
      </w:pPr>
      <w:r>
        <w:rPr>
          <w:rFonts w:ascii="Times New Roman" w:hAnsi="Times New Roman" w:cs="Times New Roman" w:eastAsia="Times New Roman"/>
          <w:b/>
          <w:sz w:val="24"/>
        </w:rPr>
        <w:t xml:space="preserve">2.3.1 Validation against ground observations</w:t>
      </w:r>
    </w:p>
    <w:p>
      <w:pPr>
        <w:pStyle w:val="FirstParagraph"/>
        <w:spacing w:line="480" w:lineRule="auto" w:before="0" w:after="0"/>
        <w:ind w:firstLine="0"/>
        <w:jc w:val="left"/>
      </w:pPr>
      <w:r>
        <w:rPr>
          <w:rFonts w:ascii="Times New Roman" w:hAnsi="Times New Roman" w:cs="Times New Roman" w:eastAsia="Times New Roman"/>
          <w:sz w:val="24"/>
        </w:rPr>
        <w:t xml:space="preserve">To validate the deviation-injection synthesis, we compared the synthesized 100-m UTCI to hourly observations from the NOAA Integrated Surface Database (ISD; National Centers for Environmental Information, https://www.ncei.noaa.gov/data/global-hourly/). For Shenzhen Bao’an Airport (WMO 59493) — the only ISD station within the synthesized domain — we converted hourly air temperature, dewpoint, and wind speed (744 valid hourly records for July 2020) to a station-level UTCI proxy via the pythermalcomfort implementation of the Bröde et al. (2012) operational procedure, using air temperature as the mean radiant temperature (MRT) proxy (a conservative assumption in the absence of radiation data).</w:t>
      </w:r>
    </w:p>
    <w:p>
      <w:pPr>
        <w:pStyle w:val="BodyText"/>
        <w:spacing w:line="480" w:lineRule="auto" w:before="0" w:after="0"/>
        <w:ind w:firstLine="0"/>
        <w:jc w:val="left"/>
      </w:pPr>
      <w:r>
        <w:rPr>
          <w:rFonts w:ascii="Times New Roman" w:hAnsi="Times New Roman" w:cs="Times New Roman" w:eastAsia="Times New Roman"/>
          <w:sz w:val="24"/>
        </w:rPr>
        <w:t xml:space="preserve">Aggregate comparison at the synthesized 100-m grid cell containing the station yields (Fig. S1):</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Monthly mean UTCI</w:t>
      </w:r>
      <w:r>
        <w:rPr>
          <w:rFonts w:ascii="Times New Roman" w:hAnsi="Times New Roman" w:cs="Times New Roman" w:eastAsia="Times New Roman"/>
          <w:sz w:val="24"/>
        </w:rPr>
        <w:t xml:space="preserve">: observed 30.89 °C, synthesized 30.53 °C (bias −0.36 K)</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Daytime mean (08:00–20:00 SHT)</w:t>
      </w:r>
      <w:r>
        <w:rPr>
          <w:rFonts w:ascii="Times New Roman" w:hAnsi="Times New Roman" w:cs="Times New Roman" w:eastAsia="Times New Roman"/>
          <w:sz w:val="24"/>
        </w:rPr>
        <w:t xml:space="preserve">: observed 31.85 °C, synthesized 32.78 °C (bias +0.93 K)</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Nighttime mean (20:00–08:00 SHT)</w:t>
      </w:r>
      <w:r>
        <w:rPr>
          <w:rFonts w:ascii="Times New Roman" w:hAnsi="Times New Roman" w:cs="Times New Roman" w:eastAsia="Times New Roman"/>
          <w:sz w:val="24"/>
        </w:rPr>
        <w:t xml:space="preserve">: observed 29.92 °C, synthesized 28.28 °C (bias −1.64 K)</w:t>
      </w:r>
    </w:p>
    <w:p>
      <w:pPr>
        <w:pStyle w:val="FirstParagraph"/>
        <w:spacing w:line="480" w:lineRule="auto" w:before="0" w:after="0"/>
        <w:ind w:firstLine="0"/>
        <w:jc w:val="left"/>
      </w:pPr>
      <w:r>
        <w:rPr>
          <w:rFonts w:ascii="Times New Roman" w:hAnsi="Times New Roman" w:cs="Times New Roman" w:eastAsia="Times New Roman"/>
          <w:sz w:val="24"/>
        </w:rPr>
        <w:t xml:space="preserve">Across the three aggregate metrics,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RMSE = 1.11 K, MAE = 0.98 K, mean bias = −0.36 K</w:t>
      </w:r>
      <w:r>
        <w:rPr>
          <w:rFonts w:ascii="Times New Roman" w:hAnsi="Times New Roman" w:cs="Times New Roman" w:eastAsia="Times New Roman"/>
          <w:sz w:val="24"/>
        </w:rPr>
        <w:t xml:space="preserve">. The slightly cool night-time bias is consistent with the deviation-injection method retaining the ERA5 reanalysis nocturnal stable-boundary-layer signal but underestimating the urban heat-island night-time retention in the densest LCZ 1 zones (the airport itself sits in a mixed LCZ 8 / 5 area). The day-night bias asymmetry (+0.93 K day, −1.64 K night) is within the 1.5–2.0 K accuracy reported for analogous deviation-injection products (Huang et al., 2026).</w:t>
      </w:r>
    </w:p>
    <w:p>
      <w:pPr>
        <w:pStyle w:val="BodyText"/>
        <w:spacing w:line="480" w:lineRule="auto" w:before="0" w:after="0"/>
        <w:ind w:firstLine="0"/>
        <w:jc w:val="left"/>
      </w:pPr>
      <w:r>
        <w:rPr>
          <w:rFonts w:ascii="Times New Roman" w:hAnsi="Times New Roman" w:cs="Times New Roman" w:eastAsia="Times New Roman"/>
          <w:sz w:val="24"/>
        </w:rPr>
        <w:t xml:space="preserve">Because no other ISD station falls inside the synthesized 100-m Shenzhen domain, broader cross-station validation is restricted to physical-consistency checks: (i) the coast-to-inland UTCI gradient of +0.20 °C km⁻¹ (Section 3.8, Fig. 9e) is consistent with the documented 1–3 K sea-breeze cooling decay over 5–10 km in subtropical coastal cities (Miller et al., 2003); (ii) the LCZ-class mean UTCI ordering (LCZ 1 hottest at 31.88 °C; LCZ 9 coolest at 29.69 °C, Section 3.1) matches the canonical Stewart and Oke (2012) classification thermal expectation. Larger-N validation against in-situ ground stations across the three GBA cities is the focus of our planned next phase (Section 4.10).</w:t>
      </w:r>
    </w:p>
    <w:bookmarkEnd w:id="15"/>
    <w:bookmarkEnd w:id="16"/>
    <w:bookmarkStart w:id="17" w:name="urban-morphological-parameters"/>
    <w:p>
      <w:pPr>
        <w:pStyle w:val="Heading2"/>
        <w:spacing w:line="480" w:lineRule="auto" w:before="360" w:after="180"/>
        <w:ind w:firstLine="0"/>
        <w:jc w:val="left"/>
      </w:pPr>
      <w:r>
        <w:rPr>
          <w:rFonts w:ascii="Times New Roman" w:hAnsi="Times New Roman" w:cs="Times New Roman" w:eastAsia="Times New Roman"/>
          <w:b/>
          <w:sz w:val="24"/>
        </w:rPr>
        <w:t xml:space="preserve">2.4 Urban morphological parameters</w:t>
      </w:r>
    </w:p>
    <w:p>
      <w:pPr>
        <w:pStyle w:val="FirstParagraph"/>
        <w:spacing w:line="480" w:lineRule="auto" w:before="0" w:after="0"/>
        <w:ind w:firstLine="0"/>
        <w:jc w:val="left"/>
      </w:pPr>
      <w:r>
        <w:rPr>
          <w:rFonts w:ascii="Times New Roman" w:hAnsi="Times New Roman" w:cs="Times New Roman" w:eastAsia="Times New Roman"/>
          <w:sz w:val="24"/>
        </w:rPr>
        <w:t xml:space="preserve">We computed eight morphological parameters at 100-m resolution from the OSM building dataset. Each building was assigned to its centroid grid cell.</w:t>
      </w:r>
    </w:p>
    <w:tbl>
      <w:tblPr>
        <w:tblStyle w:val="Table"/>
        <w:tblW w:type="pct" w:w="5000"/>
        <w:tblLayout w:type="fixed"/>
        <w:tblLook w:firstRow="1" w:lastRow="0" w:firstColumn="0" w:lastColumn="0" w:noHBand="0" w:noVBand="0" w:val="0020"/>
      </w:tblPr>
      <w:tblGrid>
        <w:gridCol w:w="1005"/>
        <w:gridCol w:w="3897"/>
        <w:gridCol w:w="3017"/>
      </w:tblGrid>
      <w:tr>
        <w:trPr>
          <w:tblHeader w:val="on"/>
        </w:trPr>
        <w:tc>
          <w:tcPr/>
          <w:p>
            <w:pPr>
              <w:pStyle w:val="Compact"/>
              <w:spacing w:line="276" w:lineRule="auto" w:before="0" w:after="0"/>
            </w:pPr>
            <w:r>
              <w:rPr>
                <w:rFonts w:ascii="Times New Roman" w:hAnsi="Times New Roman" w:cs="Times New Roman" w:eastAsia="Times New Roman"/>
                <w:sz w:val="22"/>
              </w:rPr>
              <w:t xml:space="preserve">Symbol</w:t>
            </w:r>
          </w:p>
        </w:tc>
        <w:tc>
          <w:tcPr/>
          <w:p>
            <w:pPr>
              <w:pStyle w:val="Compact"/>
              <w:spacing w:line="276" w:lineRule="auto" w:before="0" w:after="0"/>
            </w:pPr>
            <w:r>
              <w:rPr>
                <w:rFonts w:ascii="Times New Roman" w:hAnsi="Times New Roman" w:cs="Times New Roman" w:eastAsia="Times New Roman"/>
                <w:sz w:val="22"/>
              </w:rPr>
              <w:t xml:space="preserve">Name</w:t>
            </w:r>
          </w:p>
        </w:tc>
        <w:tc>
          <w:tcPr/>
          <w:p>
            <w:pPr>
              <w:pStyle w:val="Compact"/>
              <w:spacing w:line="276" w:lineRule="auto" w:before="0" w:after="0"/>
            </w:pPr>
            <w:r>
              <w:rPr>
                <w:rFonts w:ascii="Times New Roman" w:hAnsi="Times New Roman" w:cs="Times New Roman" w:eastAsia="Times New Roman"/>
                <w:sz w:val="22"/>
              </w:rPr>
              <w:t xml:space="preserve">Formula per 100-m cell</w:t>
            </w:r>
          </w:p>
        </w:tc>
      </w:tr>
      <w:tr>
        <w:tc>
          <w:tcPr/>
          <w:p>
            <w:pPr>
              <w:pStyle w:val="Compact"/>
              <w:spacing w:line="276" w:lineRule="auto" w:before="0" w:after="0"/>
            </w:pPr>
            <w:r>
              <w:rPr>
                <w:rFonts w:ascii="Times New Roman" w:hAnsi="Times New Roman" w:cs="Times New Roman" w:eastAsia="Times New Roman"/>
                <w:sz w:val="22"/>
              </w:rPr>
              <w:t xml:space="preserve">BSF</w:t>
            </w:r>
          </w:p>
        </w:tc>
        <w:tc>
          <w:tcPr/>
          <w:p>
            <w:pPr>
              <w:pStyle w:val="Compact"/>
              <w:spacing w:line="276" w:lineRule="auto" w:before="0" w:after="0"/>
            </w:pPr>
            <w:r>
              <w:rPr>
                <w:rFonts w:ascii="Times New Roman" w:hAnsi="Times New Roman" w:cs="Times New Roman" w:eastAsia="Times New Roman"/>
                <w:sz w:val="22"/>
              </w:rPr>
              <w:t xml:space="preserve">Building Surface Fraction</w:t>
            </w:r>
          </w:p>
        </w:tc>
        <w:tc>
          <w:tcPr/>
          <w:p>
            <w:pPr>
              <w:pStyle w:val="Compact"/>
              <w:spacing w:line="276" w:lineRule="auto" w:before="0" w:after="0"/>
            </w:pPr>
            <m:oMath>
              <m:r>
                <m:rPr>
                  <m:sty m:val="p"/>
                </m:rPr>
                <m:t>∑</m:t>
              </m:r>
              <m:sSub>
                <m:e>
                  <m:r>
                    <m:t>A</m:t>
                  </m:r>
                </m:e>
                <m:sub>
                  <m:r>
                    <m:t>b</m:t>
                  </m:r>
                </m:sub>
              </m:sSub>
              <m:r>
                <m:rPr>
                  <m:sty m:val="p"/>
                </m:rPr>
                <m:t>/</m:t>
              </m:r>
              <m:sSup>
                <m:e>
                  <m:r>
                    <m:t>100</m:t>
                  </m:r>
                </m:e>
                <m:sup>
                  <m:r>
                    <m:t>2</m:t>
                  </m:r>
                </m:sup>
              </m:sSup>
            </m:oMath>
          </w:p>
        </w:tc>
      </w:tr>
      <w:tr>
        <w:tc>
          <w:tcPr/>
          <w:p>
            <w:pPr>
              <w:pStyle w:val="Compact"/>
              <w:spacing w:line="276" w:lineRule="auto" w:before="0" w:after="0"/>
            </w:pPr>
            <w:r>
              <w:rPr>
                <w:rFonts w:ascii="Times New Roman" w:hAnsi="Times New Roman" w:cs="Times New Roman" w:eastAsia="Times New Roman"/>
                <w:sz w:val="22"/>
              </w:rPr>
              <w:t xml:space="preserve">MBH</w:t>
            </w:r>
          </w:p>
        </w:tc>
        <w:tc>
          <w:tcPr/>
          <w:p>
            <w:pPr>
              <w:pStyle w:val="Compact"/>
              <w:spacing w:line="276" w:lineRule="auto" w:before="0" w:after="0"/>
            </w:pPr>
            <w:r>
              <w:rPr>
                <w:rFonts w:ascii="Times New Roman" w:hAnsi="Times New Roman" w:cs="Times New Roman" w:eastAsia="Times New Roman"/>
                <w:sz w:val="22"/>
              </w:rPr>
              <w:t xml:space="preserve">Mean Building Height (m)</w:t>
            </w:r>
          </w:p>
        </w:tc>
        <w:tc>
          <w:tcPr/>
          <w:p>
            <w:pPr>
              <w:pStyle w:val="Compact"/>
              <w:spacing w:line="276" w:lineRule="auto" w:before="0" w:after="0"/>
            </w:pPr>
            <w:r>
              <w:rPr>
                <w:rFonts w:ascii="Times New Roman" w:hAnsi="Times New Roman" w:cs="Times New Roman" w:eastAsia="Times New Roman"/>
                <w:sz w:val="22"/>
              </w:rPr>
              <w:t xml:space="preserve">mean of building heights</w:t>
            </w:r>
          </w:p>
        </w:tc>
      </w:tr>
      <w:tr>
        <w:tc>
          <w:tcPr/>
          <w:p>
            <w:pPr>
              <w:pStyle w:val="Compact"/>
              <w:spacing w:line="276" w:lineRule="auto" w:before="0" w:after="0"/>
            </w:pPr>
            <w:r>
              <w:rPr>
                <w:rFonts w:ascii="Times New Roman" w:hAnsi="Times New Roman" w:cs="Times New Roman" w:eastAsia="Times New Roman"/>
                <w:sz w:val="22"/>
              </w:rPr>
              <w:t xml:space="preserve">SBH</w:t>
            </w:r>
          </w:p>
        </w:tc>
        <w:tc>
          <w:tcPr/>
          <w:p>
            <w:pPr>
              <w:pStyle w:val="Compact"/>
              <w:spacing w:line="276" w:lineRule="auto" w:before="0" w:after="0"/>
            </w:pPr>
            <w:r>
              <w:rPr>
                <w:rFonts w:ascii="Times New Roman" w:hAnsi="Times New Roman" w:cs="Times New Roman" w:eastAsia="Times New Roman"/>
                <w:sz w:val="22"/>
              </w:rPr>
              <w:t xml:space="preserve">Std of Building Height (m)</w:t>
            </w:r>
          </w:p>
        </w:tc>
        <w:tc>
          <w:tcPr/>
          <w:p>
            <w:pPr>
              <w:pStyle w:val="Compact"/>
              <w:spacing w:line="276" w:lineRule="auto" w:before="0" w:after="0"/>
            </w:pPr>
            <w:r>
              <w:rPr>
                <w:rFonts w:ascii="Times New Roman" w:hAnsi="Times New Roman" w:cs="Times New Roman" w:eastAsia="Times New Roman"/>
                <w:sz w:val="22"/>
              </w:rPr>
              <w:t xml:space="preserve">std of heights</w:t>
            </w:r>
          </w:p>
        </w:tc>
      </w:tr>
      <w:tr>
        <w:tc>
          <w:tcPr/>
          <w:p>
            <w:pPr>
              <w:pStyle w:val="Compact"/>
              <w:spacing w:line="276" w:lineRule="auto" w:before="0" w:after="0"/>
            </w:pPr>
            <w:r>
              <w:rPr>
                <w:rFonts w:ascii="Times New Roman" w:hAnsi="Times New Roman" w:cs="Times New Roman" w:eastAsia="Times New Roman"/>
                <w:sz w:val="22"/>
              </w:rPr>
              <w:t xml:space="preserve">MBW</w:t>
            </w:r>
          </w:p>
        </w:tc>
        <w:tc>
          <w:tcPr/>
          <w:p>
            <w:pPr>
              <w:pStyle w:val="Compact"/>
              <w:spacing w:line="276" w:lineRule="auto" w:before="0" w:after="0"/>
            </w:pPr>
            <w:r>
              <w:rPr>
                <w:rFonts w:ascii="Times New Roman" w:hAnsi="Times New Roman" w:cs="Times New Roman" w:eastAsia="Times New Roman"/>
                <w:sz w:val="22"/>
              </w:rPr>
              <w:t xml:space="preserve">Mean Building Width (m)</w:t>
            </w:r>
          </w:p>
        </w:tc>
        <w:tc>
          <w:tcPr/>
          <w:p>
            <w:pPr>
              <w:pStyle w:val="Compact"/>
              <w:spacing w:line="276" w:lineRule="auto" w:before="0" w:after="0"/>
            </w:pPr>
            <w:r>
              <w:rPr>
                <w:rFonts w:ascii="Times New Roman" w:hAnsi="Times New Roman" w:cs="Times New Roman" w:eastAsia="Times New Roman"/>
                <w:sz w:val="22"/>
              </w:rPr>
              <w:t xml:space="preserve">mean of</w:t>
            </w:r>
            <w:r>
              <w:rPr>
                <w:rFonts w:ascii="Times New Roman" w:hAnsi="Times New Roman" w:cs="Times New Roman" w:eastAsia="Times New Roman"/>
                <w:sz w:val="22"/>
              </w:rPr>
              <w:t xml:space="preserve"> </w:t>
            </w:r>
            <m:oMath>
              <m:rad>
                <m:radPr>
                  <m:degHide m:val="on"/>
                </m:radPr>
                <m:deg/>
                <m:e>
                  <m:sSub>
                    <m:e>
                      <m:r>
                        <m:t>A</m:t>
                      </m:r>
                    </m:e>
                    <m:sub>
                      <m:r>
                        <m:t>b</m:t>
                      </m:r>
                    </m:sub>
                  </m:sSub>
                </m:e>
              </m:rad>
            </m:oMath>
          </w:p>
        </w:tc>
      </w:tr>
      <w:tr>
        <w:tc>
          <w:tcPr/>
          <w:p>
            <w:pPr>
              <w:pStyle w:val="Compact"/>
              <w:spacing w:line="276" w:lineRule="auto" w:before="0" w:after="0"/>
            </w:pPr>
            <w:r>
              <w:rPr>
                <w:rFonts w:ascii="Times New Roman" w:hAnsi="Times New Roman" w:cs="Times New Roman" w:eastAsia="Times New Roman"/>
                <w:sz w:val="22"/>
              </w:rPr>
              <w:t xml:space="preserve">BV</w:t>
            </w:r>
          </w:p>
        </w:tc>
        <w:tc>
          <w:tcPr/>
          <w:p>
            <w:pPr>
              <w:pStyle w:val="Compact"/>
              <w:spacing w:line="276" w:lineRule="auto" w:before="0" w:after="0"/>
            </w:pPr>
            <w:r>
              <w:rPr>
                <w:rFonts w:ascii="Times New Roman" w:hAnsi="Times New Roman" w:cs="Times New Roman" w:eastAsia="Times New Roman"/>
                <w:sz w:val="22"/>
              </w:rPr>
              <w:t xml:space="preserve">Building Volume (m³)</w:t>
            </w:r>
          </w:p>
        </w:tc>
        <w:tc>
          <w:tcPr/>
          <w:p>
            <w:pPr>
              <w:pStyle w:val="Compact"/>
              <w:spacing w:line="276" w:lineRule="auto" w:before="0" w:after="0"/>
            </w:pPr>
            <m:oMath>
              <m:r>
                <m:rPr>
                  <m:sty m:val="p"/>
                </m:rPr>
                <m:t>∑</m:t>
              </m:r>
              <m:sSub>
                <m:e>
                  <m:r>
                    <m:t>A</m:t>
                  </m:r>
                </m:e>
                <m:sub>
                  <m:r>
                    <m:t>b</m:t>
                  </m:r>
                </m:sub>
              </m:sSub>
              <m:sSub>
                <m:e>
                  <m:r>
                    <m:t>h</m:t>
                  </m:r>
                </m:e>
                <m:sub>
                  <m:r>
                    <m:t>b</m:t>
                  </m:r>
                </m:sub>
              </m:sSub>
            </m:oMath>
          </w:p>
        </w:tc>
      </w:tr>
      <w:tr>
        <w:tc>
          <w:tcPr/>
          <w:p>
            <w:pPr>
              <w:pStyle w:val="Compact"/>
              <w:spacing w:line="276" w:lineRule="auto" w:before="0" w:after="0"/>
            </w:pPr>
            <w:r>
              <w:rPr>
                <w:rFonts w:ascii="Times New Roman" w:hAnsi="Times New Roman" w:cs="Times New Roman" w:eastAsia="Times New Roman"/>
                <w:sz w:val="22"/>
              </w:rPr>
              <w:t xml:space="preserve">GFA</w:t>
            </w:r>
          </w:p>
        </w:tc>
        <w:tc>
          <w:tcPr/>
          <w:p>
            <w:pPr>
              <w:pStyle w:val="Compact"/>
              <w:spacing w:line="276" w:lineRule="auto" w:before="0" w:after="0"/>
            </w:pPr>
            <w:r>
              <w:rPr>
                <w:rFonts w:ascii="Times New Roman" w:hAnsi="Times New Roman" w:cs="Times New Roman" w:eastAsia="Times New Roman"/>
                <w:sz w:val="22"/>
              </w:rPr>
              <w:t xml:space="preserve">Gross Floor Area (m²)</w:t>
            </w:r>
          </w:p>
        </w:tc>
        <w:tc>
          <w:tcPr/>
          <w:p>
            <w:pPr>
              <w:pStyle w:val="Compact"/>
              <w:spacing w:line="276" w:lineRule="auto" w:before="0" w:after="0"/>
            </w:pPr>
            <m:oMath>
              <m:r>
                <m:rPr>
                  <m:sty m:val="p"/>
                </m:rPr>
                <m:t>∑</m:t>
              </m:r>
              <m:sSub>
                <m:e>
                  <m:r>
                    <m:t>A</m:t>
                  </m:r>
                </m:e>
                <m:sub>
                  <m:r>
                    <m:t>b</m:t>
                  </m:r>
                </m:sub>
              </m:sSub>
              <m:r>
                <m:rPr>
                  <m:sty m:val="p"/>
                </m:rPr>
                <m:t>⌊</m:t>
              </m:r>
              <m:sSub>
                <m:e>
                  <m:r>
                    <m:t>h</m:t>
                  </m:r>
                </m:e>
                <m:sub>
                  <m:r>
                    <m:t>b</m:t>
                  </m:r>
                </m:sub>
              </m:sSub>
              <m:r>
                <m:rPr>
                  <m:sty m:val="p"/>
                </m:rPr>
                <m:t>/</m:t>
              </m:r>
              <m:r>
                <m:t>3</m:t>
              </m:r>
              <m:r>
                <m:rPr>
                  <m:sty m:val="p"/>
                </m:rPr>
                <m:t>⌋</m:t>
              </m:r>
            </m:oMath>
          </w:p>
        </w:tc>
      </w:tr>
      <w:tr>
        <w:tc>
          <w:tcPr/>
          <w:p>
            <w:pPr>
              <w:pStyle w:val="Compact"/>
              <w:spacing w:line="276" w:lineRule="auto" w:before="0" w:after="0"/>
            </w:pPr>
            <w:r>
              <w:rPr>
                <w:rFonts w:ascii="Times New Roman" w:hAnsi="Times New Roman" w:cs="Times New Roman" w:eastAsia="Times New Roman"/>
                <w:sz w:val="22"/>
              </w:rPr>
              <w:t xml:space="preserve">SVF</w:t>
            </w:r>
          </w:p>
        </w:tc>
        <w:tc>
          <w:tcPr/>
          <w:p>
            <w:pPr>
              <w:pStyle w:val="Compact"/>
              <w:spacing w:line="276" w:lineRule="auto" w:before="0" w:after="0"/>
            </w:pPr>
            <w:r>
              <w:rPr>
                <w:rFonts w:ascii="Times New Roman" w:hAnsi="Times New Roman" w:cs="Times New Roman" w:eastAsia="Times New Roman"/>
                <w:sz w:val="22"/>
              </w:rPr>
              <w:t xml:space="preserve">Sky View Factor</w:t>
            </w:r>
          </w:p>
        </w:tc>
        <w:tc>
          <w:tcPr/>
          <w:p>
            <w:pPr>
              <w:pStyle w:val="Compact"/>
              <w:spacing w:line="276" w:lineRule="auto" w:before="0" w:after="0"/>
            </w:pPr>
            <m:oMath>
              <m:r>
                <m:t>1</m:t>
              </m:r>
              <m:r>
                <m:rPr>
                  <m:sty m:val="p"/>
                </m:rPr>
                <m:t>−</m:t>
              </m:r>
              <m:r>
                <m:rPr>
                  <m:sty m:val="p"/>
                </m:rPr>
                <m:t>B</m:t>
              </m:r>
              <m:r>
                <m:rPr>
                  <m:sty m:val="p"/>
                </m:rPr>
                <m:t>S</m:t>
              </m:r>
              <m:r>
                <m:rPr>
                  <m:sty m:val="p"/>
                </m:rPr>
                <m:t>F</m:t>
              </m:r>
              <m:r>
                <m:rPr>
                  <m:sty m:val="p"/>
                </m:rPr>
                <m:t>⋅</m:t>
              </m:r>
              <m:r>
                <m:rPr>
                  <m:sty m:val="p"/>
                </m:rPr>
                <m:t>arctan</m:t>
              </m:r>
              <m:r>
                <m:rPr>
                  <m:sty m:val="p"/>
                </m:rPr>
                <m:t>(</m:t>
              </m:r>
              <m:r>
                <m:rPr>
                  <m:sty m:val="p"/>
                </m:rPr>
                <m:t>M</m:t>
              </m:r>
              <m:r>
                <m:rPr>
                  <m:sty m:val="p"/>
                </m:rPr>
                <m:t>B</m:t>
              </m:r>
              <m:r>
                <m:rPr>
                  <m:sty m:val="p"/>
                </m:rPr>
                <m:t>H</m:t>
              </m:r>
              <m:r>
                <m:rPr>
                  <m:sty m:val="p"/>
                </m:rPr>
                <m:t>/</m:t>
              </m:r>
              <m:sSub>
                <m:e>
                  <m:r>
                    <m:t>h</m:t>
                  </m:r>
                </m:e>
                <m:sub>
                  <m:r>
                    <m:t>0</m:t>
                  </m:r>
                </m:sub>
              </m:sSub>
              <m:r>
                <m:rPr>
                  <m:sty m:val="p"/>
                </m:rPr>
                <m:t>)</m:t>
              </m:r>
              <m:r>
                <m:rPr>
                  <m:sty m:val="p"/>
                </m:rPr>
                <m:t>/</m:t>
              </m:r>
              <m:r>
                <m:rPr>
                  <m:sty m:val="p"/>
                </m:rPr>
                <m:t>(</m:t>
              </m:r>
              <m:r>
                <m:t>π</m:t>
              </m:r>
              <m:r>
                <m:rPr>
                  <m:sty m:val="p"/>
                </m:rPr>
                <m:t>/</m:t>
              </m:r>
              <m:r>
                <m:t>2</m:t>
              </m:r>
              <m:r>
                <m:rPr>
                  <m:sty m:val="p"/>
                </m:rPr>
                <m:t>)</m:t>
              </m:r>
            </m:oMath>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m:oMath>
              <m:sSub>
                <m:e>
                  <m:r>
                    <m:t>h</m:t>
                  </m:r>
                </m:e>
                <m:sub>
                  <m:r>
                    <m:t>0</m:t>
                  </m:r>
                </m:sub>
              </m:sSub>
              <m:r>
                <m:rPr>
                  <m:sty m:val="p"/>
                </m:rPr>
                <m:t>=</m:t>
              </m:r>
              <m:r>
                <m:t>10</m:t>
              </m:r>
            </m:oMath>
          </w:p>
        </w:tc>
      </w:tr>
      <w:tr>
        <w:tc>
          <w:tcPr/>
          <w:p>
            <w:pPr>
              <w:pStyle w:val="Compact"/>
              <w:spacing w:line="276" w:lineRule="auto" w:before="0" w:after="0"/>
            </w:pPr>
            <w:r>
              <w:rPr>
                <w:rFonts w:ascii="Times New Roman" w:hAnsi="Times New Roman" w:cs="Times New Roman" w:eastAsia="Times New Roman"/>
                <w:sz w:val="22"/>
              </w:rPr>
              <w:t xml:space="preserve">PSF</w:t>
            </w:r>
          </w:p>
        </w:tc>
        <w:tc>
          <w:tcPr/>
          <w:p>
            <w:pPr>
              <w:pStyle w:val="Compact"/>
              <w:spacing w:line="276" w:lineRule="auto" w:before="0" w:after="0"/>
            </w:pPr>
            <w:r>
              <w:rPr>
                <w:rFonts w:ascii="Times New Roman" w:hAnsi="Times New Roman" w:cs="Times New Roman" w:eastAsia="Times New Roman"/>
                <w:sz w:val="22"/>
              </w:rPr>
              <w:t xml:space="preserve">Pervious Surface Fraction</w:t>
            </w:r>
          </w:p>
        </w:tc>
        <w:tc>
          <w:tcPr/>
          <w:p>
            <w:pPr>
              <w:pStyle w:val="Compact"/>
              <w:spacing w:line="276" w:lineRule="auto" w:before="0" w:after="0"/>
            </w:pPr>
            <m:oMath>
              <m:r>
                <m:t>1</m:t>
              </m:r>
              <m:r>
                <m:rPr>
                  <m:sty m:val="p"/>
                </m:rPr>
                <m:t>−</m:t>
              </m:r>
              <m:r>
                <m:rPr>
                  <m:sty m:val="p"/>
                </m:rPr>
                <m:t>B</m:t>
              </m:r>
              <m:r>
                <m:rPr>
                  <m:sty m:val="p"/>
                </m:rPr>
                <m:t>S</m:t>
              </m:r>
              <m:r>
                <m:rPr>
                  <m:sty m:val="p"/>
                </m:rPr>
                <m:t>F</m:t>
              </m:r>
              <m:r>
                <m:rPr>
                  <m:sty m:val="p"/>
                </m:rPr>
                <m:t>−</m:t>
              </m:r>
              <m:sSub>
                <m:e>
                  <m:r>
                    <m:t>I</m:t>
                  </m:r>
                </m:e>
                <m:sub>
                  <m:r>
                    <m:t>L</m:t>
                  </m:r>
                  <m:r>
                    <m:t>C</m:t>
                  </m:r>
                  <m:r>
                    <m:t>Z</m:t>
                  </m:r>
                </m:sub>
              </m:sSub>
            </m:oMath>
          </w:p>
        </w:tc>
      </w:tr>
    </w:tbl>
    <w:p>
      <w:pPr>
        <w:pStyle w:val="BodyText"/>
        <w:spacing w:line="480" w:lineRule="auto" w:before="0" w:after="0"/>
        <w:ind w:firstLine="0"/>
        <w:jc w:val="left"/>
      </w:pPr>
      <w:r>
        <w:rPr>
          <w:rFonts w:ascii="Times New Roman" w:hAnsi="Times New Roman" w:cs="Times New Roman" w:eastAsia="Times New Roman"/>
          <w:sz w:val="24"/>
        </w:rPr>
        <w:t xml:space="preserve">Here</w:t>
      </w:r>
      <w:r>
        <w:rPr>
          <w:rFonts w:ascii="Times New Roman" w:hAnsi="Times New Roman" w:cs="Times New Roman" w:eastAsia="Times New Roman"/>
          <w:sz w:val="24"/>
        </w:rPr>
        <w:t xml:space="preserve"> </w:t>
      </w:r>
      <m:oMath>
        <m:sSub>
          <m:e>
            <m:r>
              <m:t>A</m:t>
            </m:r>
          </m:e>
          <m:sub>
            <m:r>
              <m:t>b</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footprint area of building</w:t>
      </w:r>
      <w:r>
        <w:rPr>
          <w:rFonts w:ascii="Times New Roman" w:hAnsi="Times New Roman" w:cs="Times New Roman" w:eastAsia="Times New Roman"/>
          <w:sz w:val="24"/>
        </w:rPr>
        <w:t xml:space="preserve"> </w:t>
      </w:r>
      <m:oMath>
        <m:r>
          <m:t>b</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t>b</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its height, and</w:t>
      </w:r>
      <w:r>
        <w:rPr>
          <w:rFonts w:ascii="Times New Roman" w:hAnsi="Times New Roman" w:cs="Times New Roman" w:eastAsia="Times New Roman"/>
          <w:sz w:val="24"/>
        </w:rPr>
        <w:t xml:space="preserve"> </w:t>
      </w:r>
      <m:oMath>
        <m:sSub>
          <m:e>
            <m:r>
              <m:t>I</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LCZ-specific impervious fraction.</w:t>
      </w:r>
    </w:p>
    <w:bookmarkEnd w:id="17"/>
    <w:bookmarkStart w:id="18" w:name="lcz-subcategorization"/>
    <w:p>
      <w:pPr>
        <w:pStyle w:val="Heading2"/>
        <w:spacing w:line="480" w:lineRule="auto" w:before="360" w:after="180"/>
        <w:ind w:firstLine="0"/>
        <w:jc w:val="left"/>
      </w:pPr>
      <w:r>
        <w:rPr>
          <w:rFonts w:ascii="Times New Roman" w:hAnsi="Times New Roman" w:cs="Times New Roman" w:eastAsia="Times New Roman"/>
          <w:b/>
          <w:sz w:val="24"/>
        </w:rPr>
        <w:t xml:space="preserve">2.5 LCZ subcategorization</w:t>
      </w:r>
    </w:p>
    <w:p>
      <w:pPr>
        <w:pStyle w:val="FirstParagraph"/>
        <w:spacing w:line="480" w:lineRule="auto" w:before="0" w:after="0"/>
        <w:ind w:firstLine="0"/>
        <w:jc w:val="left"/>
      </w:pPr>
      <w:r>
        <w:rPr>
          <w:rFonts w:ascii="Times New Roman" w:hAnsi="Times New Roman" w:cs="Times New Roman" w:eastAsia="Times New Roman"/>
          <w:sz w:val="24"/>
        </w:rPr>
        <w:t xml:space="preserve">For each built-up LCZ class with at least 50 cells (LCZ 1–6 and 8–10), we ran k-means clustering (Lloyd, 1982) using the scikit-learn implementation (Pedregosa et al., 2011) on the eight standardized morphological parameters. We picked the optimal number of clusters</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each class by maximizing the Silhouette coefficient (Rousseeuw, 1987) over</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s="Times New Roman" w:eastAsia="Times New Roman"/>
          <w:sz w:val="24"/>
        </w:rPr>
        <w:t xml:space="preserve">, computed on a 5,000-cell random sample to keep runtime low. Subcategory labels were ordered so that label A has the lowest mean BSF.</w:t>
      </w:r>
    </w:p>
    <w:p>
      <w:pPr>
        <w:pStyle w:val="BodyText"/>
        <w:spacing w:line="480" w:lineRule="auto" w:before="0" w:after="0"/>
        <w:ind w:firstLine="0"/>
        <w:jc w:val="left"/>
      </w:pPr>
      <w:r>
        <w:rPr>
          <w:rFonts w:ascii="Times New Roman" w:hAnsi="Times New Roman" w:cs="Times New Roman" w:eastAsia="Times New Roman"/>
          <w:sz w:val="24"/>
        </w:rPr>
        <w:t xml:space="preserve">We obtained 39 subcategories in total (mean Silhouette = 0.81, range 0.57–0.99), more than the 26 reported by Huang et al. (2026) for the same city.</w:t>
      </w:r>
    </w:p>
    <w:bookmarkEnd w:id="18"/>
    <w:bookmarkStart w:id="21" w:name="population-weighted-gini-analysis"/>
    <w:p>
      <w:pPr>
        <w:pStyle w:val="Heading2"/>
        <w:spacing w:line="480" w:lineRule="auto" w:before="360" w:after="180"/>
        <w:ind w:firstLine="0"/>
        <w:jc w:val="left"/>
      </w:pPr>
      <w:r>
        <w:rPr>
          <w:rFonts w:ascii="Times New Roman" w:hAnsi="Times New Roman" w:cs="Times New Roman" w:eastAsia="Times New Roman"/>
          <w:b/>
          <w:sz w:val="24"/>
        </w:rPr>
        <w:t xml:space="preserve">2.6 Population-weighted Gini analysis</w:t>
      </w:r>
    </w:p>
    <w:p>
      <w:pPr>
        <w:pStyle w:val="FirstParagraph"/>
        <w:spacing w:line="480" w:lineRule="auto" w:before="0" w:after="0"/>
        <w:ind w:firstLine="0"/>
        <w:jc w:val="left"/>
      </w:pPr>
      <w:r>
        <w:rPr>
          <w:rFonts w:ascii="Times New Roman" w:hAnsi="Times New Roman" w:cs="Times New Roman" w:eastAsia="Times New Roman"/>
          <w:sz w:val="24"/>
        </w:rPr>
        <w:t xml:space="preserve">We measured thermal exposure inequality with the population-weighted Gini coefficient (Cowell, 2011), complemented by the Atkinson index (Atkinson, 1970) for a sensitivity check:</w:t>
      </w:r>
    </w:p>
    <w:p>
      <w:pPr>
        <w:pStyle w:val="BodyText"/>
        <w:spacing w:line="480" w:lineRule="auto" w:before="0" w:after="0"/>
        <w:ind w:firstLine="0"/>
        <w:jc w:val="left"/>
      </w:pPr>
      <m:oMathPara>
        <m:oMathParaPr>
          <m:jc m:val="center"/>
        </m:oMathParaPr>
        <m:oMath>
          <m:r>
            <m:t>G</m:t>
          </m:r>
          <m:r>
            <m:rPr>
              <m:sty m:val="p"/>
            </m:rPr>
            <m:t>=</m:t>
          </m:r>
          <m:f>
            <m:fPr>
              <m:type m:val="bar"/>
            </m:fPr>
            <m:num>
              <m:nary>
                <m:naryPr>
                  <m:chr m:val="∑"/>
                  <m:limLoc m:val="undOvr"/>
                  <m:subHide m:val="off"/>
                  <m:supHide m:val="on"/>
                </m:naryPr>
                <m:sub>
                  <m:r>
                    <m:t>i</m:t>
                  </m:r>
                  <m:r>
                    <m:rPr>
                      <m:sty m:val="p"/>
                    </m:rPr>
                    <m:t>,</m:t>
                  </m:r>
                  <m:r>
                    <m:t>j</m:t>
                  </m:r>
                </m:sub>
                <m:sup>
                  <m:r>
                    <m:t>​</m:t>
                  </m:r>
                </m:sup>
                <m:e>
                  <m:sSub>
                    <m:e>
                      <m:r>
                        <m:t>p</m:t>
                      </m:r>
                    </m:e>
                    <m:sub>
                      <m:r>
                        <m:t>i</m:t>
                      </m:r>
                    </m:sub>
                  </m:sSub>
                </m:e>
              </m:nary>
              <m:sSub>
                <m:e>
                  <m:r>
                    <m:t>p</m:t>
                  </m:r>
                </m:e>
                <m:sub>
                  <m:r>
                    <m:t>j</m:t>
                  </m:r>
                </m:sub>
              </m:sSub>
              <m:r>
                <m:t> </m:t>
              </m:r>
              <m:r>
                <m:rPr>
                  <m:sty m:val="p"/>
                </m:rPr>
                <m:t>|</m:t>
              </m:r>
              <m:sSub>
                <m:e>
                  <m:r>
                    <m:t>x</m:t>
                  </m:r>
                </m:e>
                <m:sub>
                  <m:r>
                    <m:t>i</m:t>
                  </m:r>
                </m:sub>
              </m:sSub>
              <m:r>
                <m:rPr>
                  <m:sty m:val="p"/>
                </m:rPr>
                <m:t>−</m:t>
              </m:r>
              <m:sSub>
                <m:e>
                  <m:r>
                    <m:t>x</m:t>
                  </m:r>
                </m:e>
                <m:sub>
                  <m:r>
                    <m:t>j</m:t>
                  </m:r>
                </m:sub>
              </m:sSub>
              <m:r>
                <m:rPr>
                  <m:sty m:val="p"/>
                </m:rPr>
                <m:t>|</m:t>
              </m:r>
            </m:num>
            <m:den>
              <m:r>
                <m:t>2</m:t>
              </m:r>
              <m:acc>
                <m:accPr>
                  <m:chr m:val="‾"/>
                </m:accPr>
                <m:e>
                  <m:r>
                    <m:t>x</m:t>
                  </m:r>
                </m:e>
              </m:acc>
            </m:den>
          </m:f>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sSub>
          <m:e>
            <m:r>
              <m:t>x</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thermal exposure (UTCI mean, TSD, or HDH) and</w:t>
      </w:r>
      <w:r>
        <w:rPr>
          <w:rFonts w:ascii="Times New Roman" w:hAnsi="Times New Roman" w:cs="Times New Roman" w:eastAsia="Times New Roman"/>
          <w:sz w:val="24"/>
        </w:rPr>
        <w:t xml:space="preserve"> </w:t>
      </w:r>
      <m:oMath>
        <m:sSub>
          <m:e>
            <m:r>
              <m:t>p</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population share of cell</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We also drew Lorenz curves by sorting cells from coolest to hottest and plotting cumulative population against cumulative exposure.</w:t>
      </w:r>
    </w:p>
    <w:p>
      <w:pPr>
        <w:pStyle w:val="BodyText"/>
        <w:spacing w:line="480" w:lineRule="auto" w:before="0" w:after="0"/>
        <w:ind w:firstLine="0"/>
        <w:jc w:val="left"/>
      </w:pPr>
      <w:r>
        <w:rPr>
          <w:rFonts w:ascii="Times New Roman" w:hAnsi="Times New Roman" w:cs="Times New Roman" w:eastAsia="Times New Roman"/>
          <w:sz w:val="24"/>
        </w:rPr>
        <w:t xml:space="preserve">We applied the Pyatt–Yitzhaki decomposition (Pyatt, 1976; Yitzhaki, 1979, 1994; Mookherjee &amp; Shorrocks, 1982) to split total Gini into between-group, within-group, and overlap components:</w:t>
      </w:r>
    </w:p>
    <w:p>
      <w:pPr>
        <w:pStyle w:val="BodyText"/>
        <w:spacing w:line="480" w:lineRule="auto" w:before="0" w:after="0"/>
        <w:ind w:firstLine="0"/>
        <w:jc w:val="left"/>
      </w:pPr>
      <m:oMathPara>
        <m:oMathParaPr>
          <m:jc m:val="center"/>
        </m:oMathParaPr>
        <m:oMath>
          <m:sSub>
            <m:e>
              <m:r>
                <m:t>G</m:t>
              </m:r>
            </m:e>
            <m:sub>
              <m:r>
                <m:rPr>
                  <m:sty m:val="p"/>
                </m:rPr>
                <m:t>t</m:t>
              </m:r>
              <m:r>
                <m:rPr>
                  <m:sty m:val="p"/>
                </m:rPr>
                <m:t>o</m:t>
              </m:r>
              <m:r>
                <m:rPr>
                  <m:sty m:val="p"/>
                </m:rPr>
                <m:t>t</m:t>
              </m:r>
              <m:r>
                <m:rPr>
                  <m:sty m:val="p"/>
                </m:rPr>
                <m:t>a</m:t>
              </m:r>
              <m:r>
                <m:rPr>
                  <m:sty m:val="p"/>
                </m:rPr>
                <m:t>l</m:t>
              </m:r>
            </m:sub>
          </m:sSub>
          <m:r>
            <m:rPr>
              <m:sty m:val="p"/>
            </m:rPr>
            <m:t>=</m:t>
          </m:r>
          <m:sSub>
            <m:e>
              <m:r>
                <m:t>G</m:t>
              </m:r>
            </m:e>
            <m:sub>
              <m:r>
                <m:rPr>
                  <m:sty m:val="p"/>
                </m:rPr>
                <m:t>b</m:t>
              </m:r>
              <m:r>
                <m:rPr>
                  <m:sty m:val="p"/>
                </m:rPr>
                <m:t>e</m:t>
              </m:r>
              <m:r>
                <m:rPr>
                  <m:sty m:val="p"/>
                </m:rPr>
                <m:t>t</m:t>
              </m:r>
              <m:r>
                <m:rPr>
                  <m:sty m:val="p"/>
                </m:rPr>
                <m:t>w</m:t>
              </m:r>
              <m:r>
                <m:rPr>
                  <m:sty m:val="p"/>
                </m:rPr>
                <m:t>e</m:t>
              </m:r>
              <m:r>
                <m:rPr>
                  <m:sty m:val="p"/>
                </m:rPr>
                <m:t>e</m:t>
              </m:r>
              <m:r>
                <m:rPr>
                  <m:sty m:val="p"/>
                </m:rPr>
                <m:t>n</m:t>
              </m:r>
            </m:sub>
          </m:sSub>
          <m:r>
            <m:rPr>
              <m:sty m:val="p"/>
            </m:rPr>
            <m:t>+</m:t>
          </m:r>
          <m:sSub>
            <m:e>
              <m:r>
                <m:t>G</m:t>
              </m:r>
            </m:e>
            <m:sub>
              <m:r>
                <m:rPr>
                  <m:sty m:val="p"/>
                </m:rPr>
                <m:t>w</m:t>
              </m:r>
              <m:r>
                <m:rPr>
                  <m:sty m:val="p"/>
                </m:rPr>
                <m:t>i</m:t>
              </m:r>
              <m:r>
                <m:rPr>
                  <m:sty m:val="p"/>
                </m:rPr>
                <m:t>t</m:t>
              </m:r>
              <m:r>
                <m:rPr>
                  <m:sty m:val="p"/>
                </m:rPr>
                <m:t>h</m:t>
              </m:r>
              <m:r>
                <m:rPr>
                  <m:sty m:val="p"/>
                </m:rPr>
                <m:t>i</m:t>
              </m:r>
              <m:r>
                <m:rPr>
                  <m:sty m:val="p"/>
                </m:rPr>
                <m:t>n</m:t>
              </m:r>
            </m:sub>
          </m:sSub>
          <m:r>
            <m:rPr>
              <m:sty m:val="p"/>
            </m:rPr>
            <m:t>+</m:t>
          </m:r>
          <m:sSub>
            <m:e>
              <m:r>
                <m:t>G</m:t>
              </m:r>
            </m:e>
            <m:sub>
              <m:r>
                <m:rPr>
                  <m:sty m:val="p"/>
                </m:rPr>
                <m:t>o</m:t>
              </m:r>
              <m:r>
                <m:rPr>
                  <m:sty m:val="p"/>
                </m:rPr>
                <m:t>v</m:t>
              </m:r>
              <m:r>
                <m:rPr>
                  <m:sty m:val="p"/>
                </m:rPr>
                <m:t>e</m:t>
              </m:r>
              <m:r>
                <m:rPr>
                  <m:sty m:val="p"/>
                </m:rPr>
                <m:t>r</m:t>
              </m:r>
              <m:r>
                <m:rPr>
                  <m:sty m:val="p"/>
                </m:rPr>
                <m:t>l</m:t>
              </m:r>
              <m:r>
                <m:rPr>
                  <m:sty m:val="p"/>
                </m:rPr>
                <m:t>a</m:t>
              </m:r>
              <m:r>
                <m:rPr>
                  <m:sty m:val="p"/>
                </m:rPr>
                <m:t>p</m:t>
              </m:r>
            </m:sub>
          </m:sSub>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The within term is</w:t>
      </w:r>
      <w:r>
        <w:rPr>
          <w:rFonts w:ascii="Times New Roman" w:hAnsi="Times New Roman" w:cs="Times New Roman" w:eastAsia="Times New Roman"/>
          <w:sz w:val="24"/>
        </w:rPr>
        <w:t xml:space="preserve"> </w:t>
      </w:r>
      <m:oMath>
        <m:sSub>
          <m:e>
            <m:r>
              <m:t>G</m:t>
            </m:r>
          </m:e>
          <m:sub>
            <m:r>
              <m:rPr>
                <m:sty m:val="p"/>
              </m:rPr>
              <m:t>w</m:t>
            </m:r>
            <m:r>
              <m:rPr>
                <m:sty m:val="p"/>
              </m:rPr>
              <m:t>i</m:t>
            </m:r>
            <m:r>
              <m:rPr>
                <m:sty m:val="p"/>
              </m:rPr>
              <m:t>t</m:t>
            </m:r>
            <m:r>
              <m:rPr>
                <m:sty m:val="p"/>
              </m:rPr>
              <m:t>h</m:t>
            </m:r>
            <m:r>
              <m:rPr>
                <m:sty m:val="p"/>
              </m:rPr>
              <m:t>i</m:t>
            </m:r>
            <m:r>
              <m:rPr>
                <m:sty m:val="p"/>
              </m:rPr>
              <m:t>n</m:t>
            </m:r>
          </m:sub>
        </m:sSub>
        <m:r>
          <m:rPr>
            <m:sty m:val="p"/>
          </m:rPr>
          <m:t>=</m:t>
        </m:r>
        <m:nary>
          <m:naryPr>
            <m:chr m:val="∑"/>
            <m:limLoc m:val="undOvr"/>
            <m:subHide m:val="off"/>
            <m:supHide m:val="on"/>
          </m:naryPr>
          <m:sub>
            <m:r>
              <m:t>g</m:t>
            </m:r>
          </m:sub>
          <m:sup>
            <m:r>
              <m:t>​</m:t>
            </m:r>
          </m:sup>
          <m:e>
            <m:sSub>
              <m:e>
                <m:r>
                  <m:t>s</m:t>
                </m:r>
              </m:e>
              <m:sub>
                <m:r>
                  <m:t>g</m:t>
                </m:r>
              </m:sub>
            </m:sSub>
          </m:e>
        </m:nary>
        <m:r>
          <m:rPr>
            <m:sty m:val="p"/>
          </m:rPr>
          <m:t>(</m:t>
        </m:r>
        <m:sSub>
          <m:e>
            <m:acc>
              <m:accPr>
                <m:chr m:val="‾"/>
              </m:accPr>
              <m:e>
                <m:r>
                  <m:t>x</m:t>
                </m:r>
              </m:e>
            </m:acc>
          </m:e>
          <m:sub>
            <m:r>
              <m:t>g</m:t>
            </m:r>
          </m:sub>
        </m:sSub>
        <m:r>
          <m:rPr>
            <m:sty m:val="p"/>
          </m:rPr>
          <m:t>/</m:t>
        </m:r>
        <m:acc>
          <m:accPr>
            <m:chr m:val="‾"/>
          </m:accPr>
          <m:e>
            <m:r>
              <m:t>x</m:t>
            </m:r>
          </m:e>
        </m:acc>
        <m:r>
          <m:rPr>
            <m:sty m:val="p"/>
          </m:rPr>
          <m:t>)</m:t>
        </m:r>
        <m:sSub>
          <m:e>
            <m:r>
              <m:t>G</m:t>
            </m:r>
          </m:e>
          <m:sub>
            <m:r>
              <m:t>g</m:t>
            </m:r>
          </m:sub>
        </m:sSub>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sSub>
          <m:e>
            <m:r>
              <m:t>s</m:t>
            </m:r>
          </m:e>
          <m:sub>
            <m: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population share of group</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The overlap term, characterised by Yitzhaki (1994), captures how group value ranges interpenetrate.</w:t>
      </w:r>
    </w:p>
    <w:p>
      <w:pPr>
        <w:pStyle w:val="BodyText"/>
        <w:spacing w:line="480" w:lineRule="auto" w:before="0" w:after="0"/>
        <w:ind w:firstLine="0"/>
        <w:jc w:val="left"/>
      </w:pPr>
      <w:r>
        <w:rPr>
          <w:rFonts w:ascii="Times New Roman" w:hAnsi="Times New Roman" w:cs="Times New Roman" w:eastAsia="Times New Roman"/>
          <w:sz w:val="24"/>
        </w:rPr>
        <w:t xml:space="preserve">We ran the decomposition at two grouping levels:</w:t>
      </w:r>
    </w:p>
    <w:p>
      <w:pPr>
        <w:pStyle w:val="Compact"/>
        <w:numPr>
          <w:ilvl w:val="0"/>
          <w:numId w:val="1006"/>
        </w:numPr>
        <w:spacing w:line="480" w:lineRule="auto" w:before="0" w:after="0"/>
        <w:ind w:firstLine="0"/>
        <w:jc w:val="left"/>
      </w:pPr>
      <w:r>
        <w:rPr>
          <w:rFonts w:ascii="Times New Roman" w:hAnsi="Times New Roman" w:cs="Times New Roman" w:eastAsia="Times New Roman"/>
          <w:b/>
          <w:bCs/>
          <w:sz w:val="24"/>
        </w:rPr>
        <w:t xml:space="preserve">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(9 built-up classes after merging) — this tests the conventional LCZ stratification.</w:t>
      </w:r>
    </w:p>
    <w:p>
      <w:pPr>
        <w:pStyle w:val="Compact"/>
        <w:numPr>
          <w:ilvl w:val="0"/>
          <w:numId w:val="1006"/>
        </w:numPr>
        <w:spacing w:line="480" w:lineRule="auto" w:before="0" w:after="0"/>
        <w:ind w:firstLine="0"/>
        <w:jc w:val="left"/>
      </w:pPr>
      <w:r>
        <w:rPr>
          <w:rFonts w:ascii="Times New Roman" w:hAnsi="Times New Roman" w:cs="Times New Roman" w:eastAsia="Times New Roman"/>
          <w:b/>
          <w:bCs/>
          <w:sz w:val="24"/>
        </w:rPr>
        <w:t xml:space="preserve">LCZ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(39 morphology-driven groups) — this tests whether finer subdivision can absorb within-class inequality.</w:t>
      </w:r>
    </w:p>
    <w:bookmarkStart w:id="19" w:name="significance-threshold"/>
    <w:p>
      <w:pPr>
        <w:pStyle w:val="Heading3"/>
        <w:spacing w:line="480" w:lineRule="auto" w:before="240" w:after="120"/>
        <w:ind w:firstLine="0"/>
        <w:jc w:val="left"/>
      </w:pPr>
      <w:r>
        <w:rPr>
          <w:rFonts w:ascii="Times New Roman" w:hAnsi="Times New Roman" w:cs="Times New Roman" w:eastAsia="Times New Roman"/>
          <w:b/>
          <w:sz w:val="24"/>
        </w:rPr>
        <w:t xml:space="preserve">2.6.1 Significance threshold</w:t>
      </w:r>
    </w:p>
    <w:p>
      <w:pPr>
        <w:pStyle w:val="FirstParagraph"/>
        <w:spacing w:line="480" w:lineRule="auto" w:before="0" w:after="0"/>
        <w:ind w:firstLine="0"/>
        <w:jc w:val="left"/>
      </w:pPr>
      <w:r>
        <w:rPr>
          <w:rFonts w:ascii="Times New Roman" w:hAnsi="Times New Roman" w:cs="Times New Roman" w:eastAsia="Times New Roman"/>
          <w:sz w:val="24"/>
        </w:rPr>
        <w:t xml:space="preserve">We adopt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5 percentage points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 priori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significance threshold for declaring that a feature family meaningfully absorbs within-class Gini. This choice is grounded in three considerations:</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Empirical noise floor.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validation in Section 2.3.1 yields an RMSE of 1.11 K on aggregate UTCI; bootstrapping the population-weighted Gini under matched perturbations propagates to a ±0.8–1.2 pp uncertainty band on the within-class share (Supplementary Methods). A threshold smaller than ~3 pp would therefore overlap the validation noise.</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Comparability with the heat-equity literature.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Multi-city analyses of urban-heat exposure inequality (Hsu et al., 2021; Chakraborty et al., 2019) report Gini reductions or attribution shifts of 4–8 pp as the practically meaningful range for adaptation prioritisation. Setting the threshold at 5 pp aligns our results with this published evidence base.</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Robustness of the qualitative ranking.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thresholds of 1, 2, 5, 8, and 10 pp, the qualitative ordering of the four hypotheses (H4 geography ≫ H1 morphology ≈ H3 hybrid ≫ H2 topology) is invariant. Only the binary pass / fail labels change marginally for Schemes D (population) and the city-season pairs in Section 3.11.</w:t>
      </w:r>
    </w:p>
    <w:p>
      <w:pPr>
        <w:pStyle w:val="FirstParagraph"/>
        <w:spacing w:line="480" w:lineRule="auto" w:before="0" w:after="0"/>
        <w:ind w:firstLine="0"/>
        <w:jc w:val="left"/>
      </w:pPr>
      <w:r>
        <w:rPr>
          <w:rFonts w:ascii="Times New Roman" w:hAnsi="Times New Roman" w:cs="Times New Roman" w:eastAsia="Times New Roman"/>
          <w:sz w:val="24"/>
        </w:rPr>
        <w:t xml:space="preserve">We therefore present the 5 pp threshold as a transparent decision rule rather than a discovered law of urban climate; the qualitative narrative does not depend on this exact value.</w:t>
      </w:r>
    </w:p>
    <w:bookmarkEnd w:id="19"/>
    <w:bookmarkStart w:id="20" w:name="identification-diagnostic"/>
    <w:p>
      <w:pPr>
        <w:pStyle w:val="Heading3"/>
        <w:spacing w:line="480" w:lineRule="auto" w:before="240" w:after="120"/>
        <w:ind w:firstLine="0"/>
        <w:jc w:val="left"/>
      </w:pPr>
      <w:r>
        <w:rPr>
          <w:rFonts w:ascii="Times New Roman" w:hAnsi="Times New Roman" w:cs="Times New Roman" w:eastAsia="Times New Roman"/>
          <w:b/>
          <w:sz w:val="24"/>
        </w:rPr>
        <w:t xml:space="preserve">2.6.2 Identification diagnostic</w:t>
      </w:r>
    </w:p>
    <w:p>
      <w:pPr>
        <w:pStyle w:val="FirstParagraph"/>
        <w:spacing w:line="480" w:lineRule="auto" w:before="0" w:after="0"/>
        <w:ind w:firstLine="0"/>
        <w:jc w:val="left"/>
      </w:pPr>
      <w:r>
        <w:rPr>
          <w:rFonts w:ascii="Times New Roman" w:hAnsi="Times New Roman" w:cs="Times New Roman" w:eastAsia="Times New Roman"/>
          <w:sz w:val="24"/>
        </w:rPr>
        <w:t xml:space="preserve">A central concern with deviation-injection synthesis is that 100-m UTCI values are derived rather than observed: cells that share a parent ERA5 cell and an LCZ class start with identical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“skeleton”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(city-mean ERA5 plus class anomaly) and diverge only through bilinear interpolation of the ERA5 forcing across parent-cell boundaries, time-varying</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residuals, and any sub-LCZ-class smoothing. Whether candidate explanatory features (morphology, topology, geography) can plausibly index the residual heterogeneity therefore depends on how much variance remains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(parent × LCZ) groups after construction.</w:t>
      </w:r>
    </w:p>
    <w:p>
      <w:pPr>
        <w:pStyle w:val="BodyText"/>
        <w:spacing w:line="480" w:lineRule="auto" w:before="0" w:after="0"/>
        <w:ind w:firstLine="0"/>
        <w:jc w:val="left"/>
      </w:pPr>
      <w:r>
        <w:rPr>
          <w:rFonts w:ascii="Times New Roman" w:hAnsi="Times New Roman" w:cs="Times New Roman" w:eastAsia="Times New Roman"/>
          <w:sz w:val="24"/>
        </w:rPr>
        <w:t xml:space="preserve">We test this directly. For each (parent ERA5 cell × built-up LCZ class) pair (N = 35 effective groups in Shenzhen July 2020) we compute the within-group variance share of seven variables: synthesized UTCI mean and HDH, two morphological parameters (BSF, MBH), real elevation from a 30-m SRTM DEM resampled to 100 m (Section 2.2), and the geographic coordinates (latitude, longitude). We compare these shares to assess (i) how strongly the synthesis is structurally constrained by parent-cell + LCZ membership and (ii) whether candidate explanatory features retain enough within-group variance to in principle explain the residual UTCI heterogeneity. This diagnostic is reported in Section 3.5.1 (Fig. S2; Table S1) and frames the language of feature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explanatory efficiency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used throughout Sections 3.5–3.13.</w:t>
      </w:r>
    </w:p>
    <w:bookmarkEnd w:id="20"/>
    <w:bookmarkEnd w:id="21"/>
    <w:bookmarkStart w:id="22" w:name="diurnal-and-seasonal-validation"/>
    <w:p>
      <w:pPr>
        <w:pStyle w:val="Heading2"/>
        <w:spacing w:line="480" w:lineRule="auto" w:before="360" w:after="180"/>
        <w:ind w:firstLine="0"/>
        <w:jc w:val="left"/>
      </w:pPr>
      <w:r>
        <w:rPr>
          <w:rFonts w:ascii="Times New Roman" w:hAnsi="Times New Roman" w:cs="Times New Roman" w:eastAsia="Times New Roman"/>
          <w:b/>
          <w:sz w:val="24"/>
        </w:rPr>
        <w:t xml:space="preserve">2.7 Diurnal and seasonal validation</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the geographic mechanism (Section 3.9) is consistent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known sea-breeze and katabatic-flow physics, we performed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robustness tests.</w:t>
      </w:r>
    </w:p>
    <w:p>
      <w:pPr>
        <w:pStyle w:val="BodyText"/>
        <w:spacing w:line="480" w:lineRule="auto" w:before="0" w:after="0"/>
        <w:ind w:firstLine="0"/>
        <w:jc w:val="left"/>
      </w:pPr>
      <w:r>
        <w:rPr>
          <w:rFonts w:ascii="Times New Roman" w:hAnsi="Times New Roman" w:cs="Times New Roman" w:eastAsia="Times New Roman"/>
          <w:b/>
          <w:bCs/>
          <w:sz w:val="24"/>
        </w:rPr>
        <w:t xml:space="preserve">Diurnal test (Phase 7 L1)</w:t>
      </w:r>
      <w:r>
        <w:rPr>
          <w:rFonts w:ascii="Times New Roman" w:hAnsi="Times New Roman" w:cs="Times New Roman" w:eastAsia="Times New Roman"/>
          <w:sz w:val="24"/>
        </w:rPr>
        <w:t xml:space="preserve">. We re-synthesized the 100-m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hourly series and split it into local-time periods: Day = SHT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08:00–20:00 (12 h per day, UTC 0–11), Night = SHT 20:00–08:00 (12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day, UTC 12–23). For each period we computed UTCI mean, max,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TSD, and HDH at every 100-m cell, then re-ran the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Coast+Mountain Gini decomposition. We tested two hypotheses: H1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effect peaks during the day) and H2 (mountain effect peaks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w:t>
      </w:r>
    </w:p>
    <w:p>
      <w:pPr>
        <w:pStyle w:val="BodyText"/>
        <w:spacing w:line="480" w:lineRule="auto" w:before="0" w:after="0"/>
        <w:ind w:firstLine="0"/>
        <w:jc w:val="left"/>
      </w:pPr>
      <w:r>
        <w:rPr>
          <w:rFonts w:ascii="Times New Roman" w:hAnsi="Times New Roman" w:cs="Times New Roman" w:eastAsia="Times New Roman"/>
          <w:b/>
          <w:bCs/>
          <w:sz w:val="24"/>
        </w:rPr>
        <w:t xml:space="preserve">Seasonal test (Phase 7 L2)</w:t>
      </w:r>
      <w:r>
        <w:rPr>
          <w:rFonts w:ascii="Times New Roman" w:hAnsi="Times New Roman" w:cs="Times New Roman" w:eastAsia="Times New Roman"/>
          <w:sz w:val="24"/>
        </w:rPr>
        <w:t xml:space="preserve">. We downloaded ERA5-HEAT for January,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April, and October 2020 from the Copernicus CDS (each one full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month at 25 km × 1 h resolution), in addition to the July 2020 data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already used. For each month we synthesized 100-m UTCI through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same deviation-injection method, re-projected onto the common UTM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 and re-ran the Coast/Mountain Gini decomposition. We then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compared the four seasons by Gini reduction and by mean UTCI.</w:t>
      </w:r>
    </w:p>
    <w:p>
      <w:pPr>
        <w:pStyle w:val="BodyText"/>
        <w:spacing w:line="480" w:lineRule="auto" w:before="0" w:after="0"/>
        <w:ind w:firstLine="0"/>
        <w:jc w:val="left"/>
      </w:pPr>
      <w:r>
        <w:rPr>
          <w:rFonts w:ascii="Times New Roman" w:hAnsi="Times New Roman" w:cs="Times New Roman" w:eastAsia="Times New Roman"/>
          <w:sz w:val="24"/>
        </w:rPr>
        <w:t xml:space="preserve">These two tests provide direct empirical validation of (i)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diurnal asymmetry expected from the proposed mechanisms and (ii)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seasonal stability of the geographic dominance over morphology.</w:t>
      </w:r>
    </w:p>
    <w:bookmarkEnd w:id="22"/>
    <w:bookmarkStart w:id="23" w:name="independent-features-and-phase-6-test"/>
    <w:p>
      <w:pPr>
        <w:pStyle w:val="Heading2"/>
        <w:spacing w:line="480" w:lineRule="auto" w:before="360" w:after="180"/>
        <w:ind w:firstLine="0"/>
        <w:jc w:val="left"/>
      </w:pPr>
      <w:r>
        <w:rPr>
          <w:rFonts w:ascii="Times New Roman" w:hAnsi="Times New Roman" w:cs="Times New Roman" w:eastAsia="Times New Roman"/>
          <w:b/>
          <w:sz w:val="24"/>
        </w:rPr>
        <w:t xml:space="preserve">2.8 Independent features and Phase 6 test</w:t>
      </w:r>
    </w:p>
    <w:p>
      <w:pPr>
        <w:pStyle w:val="FirstParagraph"/>
        <w:spacing w:line="480" w:lineRule="auto" w:before="0" w:after="0"/>
        <w:ind w:firstLine="0"/>
        <w:jc w:val="left"/>
      </w:pPr>
      <w:r>
        <w:rPr>
          <w:rFonts w:ascii="Times New Roman" w:hAnsi="Times New Roman" w:cs="Times New Roman" w:eastAsia="Times New Roman"/>
          <w:sz w:val="24"/>
        </w:rPr>
        <w:t xml:space="preserve">To search for non-geometric drivers of within-class inequality,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defined three feature families that are statistically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methodologically independent of the UTCI target (avoiding circular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reasoning):</w:t>
      </w:r>
    </w:p>
    <w:p>
      <w:pPr>
        <w:pStyle w:val="BodyText"/>
        <w:spacing w:line="480" w:lineRule="auto" w:before="0" w:after="0"/>
        <w:ind w:firstLine="0"/>
        <w:jc w:val="left"/>
      </w:pPr>
      <w:r>
        <w:rPr>
          <w:rFonts w:ascii="Times New Roman" w:hAnsi="Times New Roman" w:cs="Times New Roman" w:eastAsia="Times New Roman"/>
          <w:b/>
          <w:bCs/>
          <w:sz w:val="24"/>
        </w:rPr>
        <w:t xml:space="preserve">Population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raw population density per 100-m cell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(WorldPop 2020 constrained),</w:t>
      </w:r>
      <w:r>
        <w:rPr>
          <w:rFonts w:ascii="Times New Roman" w:hAnsi="Times New Roman" w:cs="Times New Roman" w:eastAsia="Times New Roman"/>
          <w:sz w:val="24"/>
        </w:rPr>
        <w:t xml:space="preserve"> </w:t>
      </w:r>
      <m:oMath>
        <m:r>
          <m:rPr>
            <m:sty m:val="p"/>
          </m:rPr>
          <m:t>log</m:t>
        </m:r>
        <m:r>
          <m:rPr>
            <m:sty m:val="p"/>
          </m:rPr>
          <m:t>(</m:t>
        </m:r>
        <m:r>
          <m:t>1</m:t>
        </m:r>
        <m:r>
          <m:rPr>
            <m:sty m:val="p"/>
          </m:rPr>
          <m:t>+</m:t>
        </m:r>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r>
          <m:rPr>
            <m:sty m:val="p"/>
          </m:rPr>
          <m:t>)</m:t>
        </m:r>
      </m:oMath>
      <w:r>
        <w:rPr>
          <w:rFonts w:ascii="Times New Roman" w:hAnsi="Times New Roman" w:cs="Times New Roman" w:eastAsia="Times New Roman"/>
          <w:sz w:val="24"/>
        </w:rPr>
        <w:t xml:space="preserve">, and a</w:t>
      </w:r>
      <w:r>
        <w:rPr>
          <w:rFonts w:ascii="Times New Roman" w:hAnsi="Times New Roman" w:cs="Times New Roman" w:eastAsia="Times New Roman"/>
          <w:sz w:val="24"/>
        </w:rPr>
        <w:t xml:space="preserve"> </w:t>
      </w:r>
      <m:oMath>
        <m:r>
          <m:t>5</m:t>
        </m:r>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neighborhood-smoothed density. None depend on UTCI.</w:t>
      </w:r>
    </w:p>
    <w:p>
      <w:pPr>
        <w:pStyle w:val="BodyText"/>
        <w:spacing w:line="480" w:lineRule="auto" w:before="0" w:after="0"/>
        <w:ind w:firstLine="0"/>
        <w:jc w:val="left"/>
      </w:pPr>
      <w:r>
        <w:rPr>
          <w:rFonts w:ascii="Times New Roman" w:hAnsi="Times New Roman" w:cs="Times New Roman" w:eastAsia="Times New Roman"/>
          <w:b/>
          <w:bCs/>
          <w:sz w:val="24"/>
        </w:rPr>
        <w:t xml:space="preserve">Geographic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Euclidean distance to the nearest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water body (LCZ 17, sea-breeze proxy), Euclidean distance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nearest dense forest patch (LCZ 11/12, mountain proxy), and 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computed as</w:t>
      </w:r>
      <w:r>
        <w:rPr>
          <w:rFonts w:ascii="Times New Roman" w:hAnsi="Times New Roman" w:cs="Times New Roman" w:eastAsia="Times New Roman"/>
          <w:sz w:val="24"/>
        </w:rPr>
        <w:t xml:space="preserve"> </w:t>
      </w:r>
      <m:oMath>
        <m:r>
          <m:t>1</m:t>
        </m:r>
        <m:r>
          <m:rPr>
            <m:sty m:val="p"/>
          </m:rPr>
          <m:t>/</m:t>
        </m:r>
        <m:r>
          <m:rPr>
            <m:sty m:val="p"/>
          </m:rPr>
          <m:t>(</m:t>
        </m:r>
        <m:sSub>
          <m:e>
            <m:r>
              <m:t>d</m:t>
            </m:r>
          </m:e>
          <m:sub>
            <m:r>
              <m:rPr>
                <m:sty m:val="p"/>
              </m:rPr>
              <m:t>m</m:t>
            </m:r>
            <m:r>
              <m:rPr>
                <m:sty m:val="p"/>
              </m:rPr>
              <m:t>o</m:t>
            </m:r>
            <m:r>
              <m:rPr>
                <m:sty m:val="p"/>
              </m:rPr>
              <m:t>u</m:t>
            </m:r>
            <m:r>
              <m:rPr>
                <m:sty m:val="p"/>
              </m:rPr>
              <m:t>n</m:t>
            </m:r>
            <m:r>
              <m:rPr>
                <m:sty m:val="p"/>
              </m:rPr>
              <m:t>t</m:t>
            </m:r>
            <m:r>
              <m:rPr>
                <m:sty m:val="p"/>
              </m:rPr>
              <m:t>a</m:t>
            </m:r>
            <m:r>
              <m:rPr>
                <m:sty m:val="p"/>
              </m:rPr>
              <m:t>i</m:t>
            </m:r>
            <m:r>
              <m:rPr>
                <m:sty m:val="p"/>
              </m:rPr>
              <m:t>n</m:t>
            </m:r>
          </m:sub>
        </m:sSub>
        <m:r>
          <m:rPr>
            <m:sty m:val="p"/>
          </m:rPr>
          <m:t>+</m:t>
        </m:r>
        <m:r>
          <m:t>1</m:t>
        </m:r>
        <m:r>
          <m:rPr>
            <m:sty m:val="p"/>
          </m:rPr>
          <m:t>)</m:t>
        </m:r>
      </m:oMath>
      <w:r>
        <w:rPr>
          <w:rFonts w:ascii="Times New Roman" w:hAnsi="Times New Roman" w:cs="Times New Roman" w:eastAsia="Times New Roman"/>
          <w:sz w:val="24"/>
        </w:rPr>
        <w:t xml:space="preserve">, 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high near mountains and low in the coastal plain. These rely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on the static LCZ map and not on UTCI.</w:t>
      </w:r>
    </w:p>
    <w:p>
      <w:pPr>
        <w:pStyle w:val="BodyText"/>
        <w:spacing w:line="480" w:lineRule="auto" w:before="0" w:after="0"/>
        <w:ind w:firstLine="0"/>
        <w:jc w:val="left"/>
      </w:pPr>
      <w:r>
        <w:rPr>
          <w:rFonts w:ascii="Times New Roman" w:hAnsi="Times New Roman" w:cs="Times New Roman" w:eastAsia="Times New Roman"/>
          <w:sz w:val="24"/>
        </w:rPr>
        <w:t xml:space="preserve">We deliberately excluded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temporal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such as TSD, HDH,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peak intensity, and percentile spread because each is a direct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function of the UTCI distribution at that cell. Clustering on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derived features against UTCI-derived inequality measures produces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trivially large reductions through circular reasoning.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encountered exactly this artifact in pilot runs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of 80+ pp), confirming that excluding such features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methodologically necessary.</w:t>
      </w:r>
    </w:p>
    <w:p>
      <w:pPr>
        <w:pStyle w:val="BodyText"/>
        <w:spacing w:line="480" w:lineRule="auto" w:before="0" w:after="0"/>
        <w:ind w:firstLine="0"/>
        <w:jc w:val="left"/>
      </w:pPr>
      <w:r>
        <w:rPr>
          <w:rFonts w:ascii="Times New Roman" w:hAnsi="Times New Roman" w:cs="Times New Roman" w:eastAsia="Times New Roman"/>
          <w:sz w:val="24"/>
        </w:rPr>
        <w:t xml:space="preserve">We then ran six clustering schemes (A-F in Section 3.8): the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spatial-geometry schemes from Phase 5 (UMPs, Topology, both), plus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new schemes for population and geography, and one combined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using all 19 independent features.</w:t>
      </w:r>
    </w:p>
    <w:bookmarkEnd w:id="23"/>
    <w:bookmarkStart w:id="24" w:name="hybrid-clustering-experiment"/>
    <w:p>
      <w:pPr>
        <w:pStyle w:val="Heading2"/>
        <w:spacing w:line="480" w:lineRule="auto" w:before="360" w:after="180"/>
        <w:ind w:firstLine="0"/>
        <w:jc w:val="left"/>
      </w:pPr>
      <w:r>
        <w:rPr>
          <w:rFonts w:ascii="Times New Roman" w:hAnsi="Times New Roman" w:cs="Times New Roman" w:eastAsia="Times New Roman"/>
          <w:b/>
          <w:sz w:val="24"/>
        </w:rPr>
        <w:t xml:space="preserve">2.9 Hybrid clustering experiment</w:t>
      </w:r>
    </w:p>
    <w:p>
      <w:pPr>
        <w:pStyle w:val="FirstParagraph"/>
        <w:spacing w:line="480" w:lineRule="auto" w:before="0" w:after="0"/>
        <w:ind w:firstLine="0"/>
        <w:jc w:val="left"/>
      </w:pPr>
      <w:r>
        <w:rPr>
          <w:rFonts w:ascii="Times New Roman" w:hAnsi="Times New Roman" w:cs="Times New Roman" w:eastAsia="Times New Roman"/>
          <w:sz w:val="24"/>
        </w:rPr>
        <w:t xml:space="preserve">To directly test whether topological features can complement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in subcategorization, we ran three controlled k-means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experiments (Phase 5):</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8 UMPs only.</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(ablation): 5 local topological features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via convolution-based proxies of persistent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homology—local UTCI std, gradient magnitude, hotspot strength,</w:t>
      </w:r>
      <w:r>
        <w:rPr>
          <w:rFonts w:ascii="Times New Roman" w:hAnsi="Times New Roman" w:cs="Times New Roman" w:eastAsia="Times New Roman"/>
          <w:sz w:val="24"/>
        </w:rPr>
        <w:t xml:space="preserve"> </w:t>
      </w:r>
      <m:oMath>
        <m:r>
          <m:rPr>
            <m:sty m:val="p"/>
          </m:rPr>
          <m:t>max</m:t>
        </m:r>
        <m:r>
          <m:rPr>
            <m:sty m:val="p"/>
          </m:rPr>
          <m:t>−</m:t>
        </m:r>
        <m:r>
          <m:rPr>
            <m:sty m:val="p"/>
          </m:rPr>
          <m:t>min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and smoothness (deviation from local 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using a 5×5 neighborhood window.</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(hybrid): Scheme A ∪ Scheme B = 13 features.</w:t>
      </w:r>
    </w:p>
    <w:p>
      <w:pPr>
        <w:pStyle w:val="FirstParagraph"/>
        <w:spacing w:line="480" w:lineRule="auto" w:before="0" w:after="0"/>
        <w:ind w:firstLine="0"/>
        <w:jc w:val="left"/>
      </w:pPr>
      <w:r>
        <w:rPr>
          <w:rFonts w:ascii="Times New Roman" w:hAnsi="Times New Roman" w:cs="Times New Roman" w:eastAsia="Times New Roman"/>
          <w:sz w:val="24"/>
        </w:rPr>
        <w:t xml:space="preserve">We applied each scheme inside every built-up LCZ class (LCZ 1–10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except LCZ 7), with</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rPr>
            <m:sty m:val="p"/>
          </m:rPr>
          <m:t>.</m:t>
        </m:r>
        <m:r>
          <m:rPr>
            <m:sty m:val="p"/>
          </m:rPr>
          <m:t>.</m:t>
        </m:r>
        <m:r>
          <m:rPr>
            <m:sty m:val="p"/>
          </m:rPr>
          <m:t>.</m:t>
        </m:r>
        <m:r>
          <m:rPr>
            <m:sty m:val="p"/>
          </m:rPr>
          <m:t>,</m:t>
        </m:r>
        <m:r>
          <m:t>5</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chosen by Silhouette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maximization. We then re-applied Pyatt–Yitzhaki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HDH and computed the within-class share for each scheme.</w:t>
      </w:r>
    </w:p>
    <w:p>
      <w:pPr>
        <w:pStyle w:val="BodyText"/>
        <w:spacing w:line="480" w:lineRule="auto" w:before="0" w:after="0"/>
        <w:ind w:firstLine="0"/>
        <w:jc w:val="left"/>
      </w:pPr>
      <w:r>
        <w:rPr>
          <w:rFonts w:ascii="Times New Roman" w:hAnsi="Times New Roman" w:cs="Times New Roman" w:eastAsia="Times New Roman"/>
          <w:sz w:val="24"/>
        </w:rPr>
        <w:t xml:space="preserve">The convolution-based topology proxies are computationally cheaper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per-cell persistent homology by roughly three orders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magnitude, and they retain ~90% of the geometric signal 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 scale—a trade-off appropriate for a city-wide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hypothesis test. We discuss this trade-off in §4.5.</w:t>
      </w:r>
    </w:p>
    <w:bookmarkEnd w:id="24"/>
    <w:bookmarkStart w:id="25" w:name="topological-data-analysis"/>
    <w:p>
      <w:pPr>
        <w:pStyle w:val="Heading2"/>
        <w:spacing w:line="480" w:lineRule="auto" w:before="360" w:after="180"/>
        <w:ind w:firstLine="0"/>
        <w:jc w:val="left"/>
      </w:pPr>
      <w:r>
        <w:rPr>
          <w:rFonts w:ascii="Times New Roman" w:hAnsi="Times New Roman" w:cs="Times New Roman" w:eastAsia="Times New Roman"/>
          <w:b/>
          <w:sz w:val="24"/>
        </w:rPr>
        <w:t xml:space="preserve">2.10 Topological data analysis</w:t>
      </w:r>
    </w:p>
    <w:p>
      <w:pPr>
        <w:pStyle w:val="FirstParagraph"/>
        <w:spacing w:line="480" w:lineRule="auto" w:before="0" w:after="0"/>
        <w:ind w:firstLine="0"/>
        <w:jc w:val="left"/>
      </w:pPr>
      <w:r>
        <w:rPr>
          <w:rFonts w:ascii="Times New Roman" w:hAnsi="Times New Roman" w:cs="Times New Roman" w:eastAsia="Times New Roman"/>
          <w:sz w:val="24"/>
        </w:rPr>
        <w:t xml:space="preserve">To probe geometric structure of the UTCI field beyond what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captures, we applied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cubical persistent homology</w:t>
      </w:r>
      <w:r>
        <w:rPr>
          <w:rFonts w:ascii="Times New Roman" w:hAnsi="Times New Roman" w:cs="Times New Roman" w:eastAsia="Times New Roman"/>
          <w:sz w:val="24"/>
        </w:rPr>
        <w:t xml:space="preserve">, a tool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topological data analysis (TDA; Carlsson, 2009; Edelsbrunner &amp; Harer,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2010; Wasserman, 2018; Chazal &amp; Michel, 2021), implemented with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GUDHI library (Maria et al., 2014). For the full Shenzhen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map and for each built-up LCZ class patch, we computed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sublevel filtration:</w:t>
      </w:r>
    </w:p>
    <w:p>
      <w:pPr>
        <w:pStyle w:val="BodyText"/>
        <w:spacing w:line="480" w:lineRule="auto" w:before="0" w:after="0"/>
        <w:ind w:firstLine="0"/>
        <w:jc w:val="left"/>
      </w:pPr>
      <m:oMathPara>
        <m:oMathParaPr>
          <m:jc m:val="center"/>
        </m:oMathParaPr>
        <m:oMath>
          <m:sSub>
            <m:e>
              <m:r>
                <m:t>F</m:t>
              </m:r>
            </m:e>
            <m:sub>
              <m:r>
                <m:t>t</m:t>
              </m:r>
            </m:sub>
          </m:sSub>
          <m:r>
            <m:rPr>
              <m:sty m:val="p"/>
            </m:rPr>
            <m:t>=</m:t>
          </m:r>
          <m:r>
            <m:rPr>
              <m:sty m:val="p"/>
            </m:rPr>
            <m:t>{</m:t>
          </m:r>
          <m:r>
            <m:t>x</m:t>
          </m:r>
          <m:r>
            <m:rPr>
              <m:sty m:val="p"/>
            </m:rPr>
            <m:t>:</m:t>
          </m:r>
          <m:r>
            <m:rPr>
              <m:sty m:val="p"/>
            </m:rPr>
            <m:t>U</m:t>
          </m:r>
          <m:r>
            <m:rPr>
              <m:sty m:val="p"/>
            </m:rPr>
            <m:t>T</m:t>
          </m:r>
          <m:r>
            <m:rPr>
              <m:sty m:val="p"/>
            </m:rPr>
            <m:t>C</m:t>
          </m:r>
          <m:r>
            <m:rPr>
              <m:sty m:val="p"/>
            </m:rPr>
            <m:t>I</m:t>
          </m:r>
          <m:r>
            <m:rPr>
              <m:sty m:val="p"/>
            </m:rPr>
            <m:t>(</m:t>
          </m:r>
          <m:r>
            <m:t>x</m:t>
          </m:r>
          <m:r>
            <m:rPr>
              <m:sty m:val="p"/>
            </m:rPr>
            <m:t>)</m:t>
          </m:r>
          <m:r>
            <m:rPr>
              <m:sty m:val="p"/>
            </m:rPr>
            <m:t>≤</m:t>
          </m:r>
          <m:r>
            <m:t>t</m:t>
          </m:r>
          <m:r>
            <m:rPr>
              <m:sty m:val="p"/>
            </m:rPr>
            <m:t>}</m:t>
          </m:r>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As</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increases, the topology of</w:t>
      </w:r>
      <w:r>
        <w:rPr>
          <w:rFonts w:ascii="Times New Roman" w:hAnsi="Times New Roman" w:cs="Times New Roman" w:eastAsia="Times New Roman"/>
          <w:sz w:val="24"/>
        </w:rPr>
        <w:t xml:space="preserve"> </w:t>
      </w:r>
      <m:oMath>
        <m:sSub>
          <m:e>
            <m:r>
              <m:t>F</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evolves. We tracked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invariants:</w:t>
      </w:r>
    </w:p>
    <w:p>
      <w:pPr>
        <w:pStyle w:val="Compact"/>
        <w:numPr>
          <w:ilvl w:val="0"/>
          <w:numId w:val="1009"/>
        </w:numPr>
        <w:spacing w:line="480" w:lineRule="auto" w:before="0" w:after="0"/>
        <w:ind w:firstLine="0"/>
        <w:jc w:val="left"/>
      </w:pPr>
      <m:oMath>
        <m:sSub>
          <m:e>
            <m:r>
              <m:t>β</m:t>
            </m:r>
          </m:e>
          <m:sub>
            <m:r>
              <m:t>0</m:t>
            </m:r>
          </m:sub>
        </m:sSub>
        <m:r>
          <m:rPr>
            <m:sty m:val="p"/>
          </m:rPr>
          <m:t>(</m:t>
        </m:r>
        <m:r>
          <m:t>t</m:t>
        </m:r>
        <m:r>
          <m:rPr>
            <m:sty m:val="p"/>
          </m:rPr>
          <m:t>)</m:t>
        </m:r>
      </m:oMath>
      <w:r>
        <w:rPr>
          <w:rFonts w:ascii="Times New Roman" w:hAnsi="Times New Roman" w:cs="Times New Roman" w:eastAsia="Times New Roman"/>
          <w:sz w:val="24"/>
        </w:rPr>
        <w:t xml:space="preserve">: number of connected components (cool islands)</w:t>
      </w:r>
    </w:p>
    <w:p>
      <w:pPr>
        <w:pStyle w:val="Compact"/>
        <w:numPr>
          <w:ilvl w:val="0"/>
          <w:numId w:val="1009"/>
        </w:numPr>
        <w:spacing w:line="480" w:lineRule="auto" w:before="0" w:after="0"/>
        <w:ind w:firstLine="0"/>
        <w:jc w:val="left"/>
      </w:pPr>
      <m:oMath>
        <m:sSub>
          <m:e>
            <m:r>
              <m:t>β</m:t>
            </m:r>
          </m:e>
          <m:sub>
            <m:r>
              <m:t>1</m:t>
            </m:r>
          </m:sub>
        </m:sSub>
        <m:r>
          <m:rPr>
            <m:sty m:val="p"/>
          </m:rPr>
          <m:t>(</m:t>
        </m:r>
        <m:r>
          <m:t>t</m:t>
        </m:r>
        <m:r>
          <m:rPr>
            <m:sty m:val="p"/>
          </m:rPr>
          <m:t>)</m:t>
        </m:r>
      </m:oMath>
      <w:r>
        <w:rPr>
          <w:rFonts w:ascii="Times New Roman" w:hAnsi="Times New Roman" w:cs="Times New Roman" w:eastAsia="Times New Roman"/>
          <w:sz w:val="24"/>
        </w:rPr>
        <w:t xml:space="preserve">: number of holes (warm patches surrounded by cool ones)</w:t>
      </w:r>
    </w:p>
    <w:p>
      <w:pPr>
        <w:pStyle w:val="FirstParagraph"/>
        <w:spacing w:line="480" w:lineRule="auto" w:before="0" w:after="0"/>
        <w:ind w:firstLine="0"/>
        <w:jc w:val="left"/>
      </w:pPr>
      <w:r>
        <w:rPr>
          <w:rFonts w:ascii="Times New Roman" w:hAnsi="Times New Roman" w:cs="Times New Roman" w:eastAsia="Times New Roman"/>
          <w:sz w:val="24"/>
        </w:rPr>
        <w:t xml:space="preserve">We extracted persistence diagrams—pairs of (birth, death) values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which features appear and disappear. From each diagram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seven topological features: number of</w:t>
      </w:r>
      <w:r>
        <w:rPr>
          <w:rFonts w:ascii="Times New Roman" w:hAnsi="Times New Roman" w:cs="Times New Roman" w:eastAsia="Times New Roman"/>
          <w:sz w:val="24"/>
        </w:rPr>
        <w:t xml:space="preserve"> </w:t>
      </w:r>
      <m:oMath>
        <m:sSub>
          <m:e>
            <m:r>
              <m:t>H</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maximum and total feature lifetimes, persistence entropy,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number of long-lived (</w:t>
      </w:r>
      <m:oMath>
        <m:r>
          <m:rPr>
            <m:nor/>
            <m:sty m:val="p"/>
          </m:rPr>
          <m:t>lifetime</m:t>
        </m:r>
        <m:r>
          <m:rPr>
            <m:sty m:val="p"/>
          </m:rPr>
          <m:t>&gt;</m:t>
        </m:r>
        <m:r>
          <m:t>0.3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 features.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provide a stable, vector-form summary suitable for comparison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machine learning, we also generated persistence images per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 (Adams et al., 2017).</w:t>
      </w:r>
    </w:p>
    <w:p>
      <w:pPr>
        <w:pStyle w:val="BodyText"/>
        <w:spacing w:line="480" w:lineRule="auto" w:before="0" w:after="0"/>
        <w:ind w:firstLine="0"/>
        <w:jc w:val="left"/>
      </w:pPr>
      <w:r>
        <w:rPr>
          <w:rFonts w:ascii="Times New Roman" w:hAnsi="Times New Roman" w:cs="Times New Roman" w:eastAsia="Times New Roman"/>
          <w:sz w:val="24"/>
        </w:rPr>
        <w:t xml:space="preserve">To compare LCZ classes, we computed pairwise 2-Wasserstein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distances between their</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persistence diagrams using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GUDHI Wasserstein implementation; the Wasserstein metric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provably stable under small perturbations of the underlying field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(Cohen-Steiner et al., 2007).</w:t>
      </w:r>
    </w:p>
    <w:bookmarkEnd w:id="25"/>
    <w:bookmarkStart w:id="26" w:name="robustness-checks"/>
    <w:p>
      <w:pPr>
        <w:pStyle w:val="Heading2"/>
        <w:spacing w:line="480" w:lineRule="auto" w:before="360" w:after="180"/>
        <w:ind w:firstLine="0"/>
        <w:jc w:val="left"/>
      </w:pPr>
      <w:r>
        <w:rPr>
          <w:rFonts w:ascii="Times New Roman" w:hAnsi="Times New Roman" w:cs="Times New Roman" w:eastAsia="Times New Roman"/>
          <w:b/>
          <w:sz w:val="24"/>
        </w:rPr>
        <w:t xml:space="preserve">2.11 Robustness checks</w:t>
      </w:r>
    </w:p>
    <w:p>
      <w:pPr>
        <w:pStyle w:val="FirstParagraph"/>
        <w:spacing w:line="480" w:lineRule="auto" w:before="0" w:after="0"/>
        <w:ind w:firstLine="0"/>
        <w:jc w:val="left"/>
      </w:pPr>
      <w:r>
        <w:rPr>
          <w:rFonts w:ascii="Times New Roman" w:hAnsi="Times New Roman" w:cs="Times New Roman" w:eastAsia="Times New Roman"/>
          <w:sz w:val="24"/>
        </w:rPr>
        <w:t xml:space="preserve">We verified the time-window stability by repeating the analysis on a 1-week subset (July 15–21, 2020). Differences were under 7% for all Gini values. We also computed the Atkinson index (ε = 0.5) to confirm the result against an alternative inequality measure.</w:t>
      </w:r>
    </w:p>
    <w:bookmarkEnd w:id="26"/>
    <w:bookmarkStart w:id="27" w:name="software"/>
    <w:p>
      <w:pPr>
        <w:pStyle w:val="Heading2"/>
        <w:spacing w:line="480" w:lineRule="auto" w:before="360" w:after="180"/>
        <w:ind w:firstLine="0"/>
        <w:jc w:val="left"/>
      </w:pPr>
      <w:r>
        <w:rPr>
          <w:rFonts w:ascii="Times New Roman" w:hAnsi="Times New Roman" w:cs="Times New Roman" w:eastAsia="Times New Roman"/>
          <w:b/>
          <w:sz w:val="24"/>
        </w:rPr>
        <w:t xml:space="preserve">2.12 Software</w:t>
      </w:r>
    </w:p>
    <w:p>
      <w:pPr>
        <w:pStyle w:val="FirstParagraph"/>
        <w:spacing w:line="480" w:lineRule="auto" w:before="0" w:after="0"/>
        <w:ind w:firstLine="0"/>
        <w:jc w:val="left"/>
      </w:pPr>
      <w:r>
        <w:rPr>
          <w:rFonts w:ascii="Times New Roman" w:hAnsi="Times New Roman" w:cs="Times New Roman" w:eastAsia="Times New Roman"/>
          <w:sz w:val="24"/>
        </w:rPr>
        <w:t xml:space="preserve">All analyses ran in Python 3.11 on a workstation with a single NVIDIA RTX 3060 GPU (12 GB VRAM), 16 cores, and 16 GB RAM, on Windows 11. Key libraries: xarray (Hoyer &amp; Hamman, 2017), rioxarray, geopandas, OSMnx (Boeing, 2017), scikit-learn (Pedregosa et al., 2011), GUDHI (Maria et al., 2014), and pythermalcomfort. The full pipeline took under 5 minutes from raw data to all results.</w:t>
      </w:r>
    </w:p>
    <w:p>
      <w:pPr>
        <w:pStyle w:val="BodyText"/>
        <w:spacing w:line="480" w:lineRule="auto" w:before="0" w:after="0"/>
        <w:ind w:firstLine="0"/>
        <w:jc w:val="left"/>
      </w:pPr>
      <w:r>
        <w:rPr>
          <w:rFonts w:ascii="Times New Roman" w:hAnsi="Times New Roman" w:cs="Times New Roman" w:eastAsia="Times New Roman"/>
          <w:sz w:val="24"/>
        </w:rPr>
        <w:t xml:space="preserve">Source code, configuration files, and processed datasets are openly released. Code is at GitHub under MIT license. Data are deposited at Zenodo.</w:t>
      </w:r>
    </w:p>
    <w:bookmarkEnd w:id="27"/>
    <w:bookmarkEnd w:id="28"/>
    <w:bookmarkStart w:id="43" w:name="results"/>
    <w:p>
      <w:pPr>
        <w:pStyle w:val="Heading1"/>
        <w:spacing w:line="480" w:lineRule="auto" w:before="480" w:after="240"/>
        <w:ind w:firstLine="0"/>
        <w:jc w:val="left"/>
      </w:pPr>
      <w:r>
        <w:rPr>
          <w:rFonts w:ascii="Times New Roman" w:hAnsi="Times New Roman" w:cs="Times New Roman" w:eastAsia="Times New Roman"/>
          <w:b/>
          <w:sz w:val="24"/>
        </w:rPr>
        <w:t xml:space="preserve">3. Results</w:t>
      </w:r>
    </w:p>
    <w:bookmarkStart w:id="29" w:name="m-utci-dataset"/>
    <w:p>
      <w:pPr>
        <w:pStyle w:val="Heading2"/>
        <w:spacing w:line="480" w:lineRule="auto" w:before="360" w:after="180"/>
        <w:ind w:firstLine="0"/>
        <w:jc w:val="left"/>
      </w:pPr>
      <w:r>
        <w:rPr>
          <w:rFonts w:ascii="Times New Roman" w:hAnsi="Times New Roman" w:cs="Times New Roman" w:eastAsia="Times New Roman"/>
          <w:b/>
          <w:sz w:val="24"/>
        </w:rPr>
        <w:t xml:space="preserve">3.1 100-m UTCI dataset</w:t>
      </w:r>
    </w:p>
    <w:p>
      <w:pPr>
        <w:pStyle w:val="FirstParagraph"/>
        <w:spacing w:line="480" w:lineRule="auto" w:before="0" w:after="0"/>
        <w:ind w:firstLine="0"/>
        <w:jc w:val="left"/>
      </w:pPr>
      <w:r>
        <w:rPr>
          <w:rFonts w:ascii="Times New Roman" w:hAnsi="Times New Roman" w:cs="Times New Roman" w:eastAsia="Times New Roman"/>
          <w:sz w:val="24"/>
        </w:rPr>
        <w:t xml:space="preserve">Our deviation-injection method produced 744 hourly UTCI maps at 100 m for July 2020 (Fig. 1c). The UTCI range across cells was 21.6 to 41.6 °C—a 20 °C spread. The population-weighted city mean was 30.84 °C. Strong heat stress (UTCI &gt; 32 °C) accumulated 184 hours per cell on average, and reached 337 hours in the hottest cells (45% of July). HDH ranged from 0 to 4,538 °C·h.</w:t>
      </w:r>
    </w:p>
    <w:p>
      <w:pPr>
        <w:pStyle w:val="BodyText"/>
        <w:spacing w:line="480" w:lineRule="auto" w:before="0" w:after="0"/>
        <w:ind w:firstLine="0"/>
        <w:jc w:val="left"/>
      </w:pPr>
      <w:r>
        <w:rPr>
          <w:rFonts w:ascii="Times New Roman" w:hAnsi="Times New Roman" w:cs="Times New Roman" w:eastAsia="Times New Roman"/>
          <w:sz w:val="24"/>
        </w:rPr>
        <w:t xml:space="preserve">LCZ-class mean UTCI followed expected patterns: LCZ 1 (compact high-rise) was the hottest at 31.88 °C, and LCZ 9 (sparsely built) was the coolest at 29.69 °C—a 2.18 °C spread between class means. The class rankings matched well across three metrics: UTCI mean, TSD, and HDH (Spearman ρ &gt; 0.97). They were also stable between the 1-week and 1-month windows (HDH Gini changed from 0.054 to 0.057, under 7%).</w:t>
      </w:r>
    </w:p>
    <w:bookmarkEnd w:id="29"/>
    <w:bookmarkStart w:id="30" w:name="population-weighted-gini-coefficients"/>
    <w:p>
      <w:pPr>
        <w:pStyle w:val="Heading2"/>
        <w:spacing w:line="480" w:lineRule="auto" w:before="360" w:after="180"/>
        <w:ind w:firstLine="0"/>
        <w:jc w:val="left"/>
      </w:pPr>
      <w:r>
        <w:rPr>
          <w:rFonts w:ascii="Times New Roman" w:hAnsi="Times New Roman" w:cs="Times New Roman" w:eastAsia="Times New Roman"/>
          <w:b/>
          <w:sz w:val="24"/>
        </w:rPr>
        <w:t xml:space="preserve">3.2 Population-weighted Gini coefficients</w:t>
      </w:r>
    </w:p>
    <w:p>
      <w:pPr>
        <w:pStyle w:val="FirstParagraph"/>
        <w:spacing w:line="480" w:lineRule="auto" w:before="0" w:after="0"/>
        <w:ind w:firstLine="0"/>
        <w:jc w:val="left"/>
      </w:pPr>
      <w:r>
        <w:rPr>
          <w:rFonts w:ascii="Times New Roman" w:hAnsi="Times New Roman" w:cs="Times New Roman" w:eastAsia="Times New Roman"/>
          <w:sz w:val="24"/>
        </w:rPr>
        <w:t xml:space="preserve">We computed three exposure metrics across all 389,515 valid grid cells (Table 1):</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UTCI mean Gini = 0.0097</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TSD &gt; 32 °C Gini = 0.0309</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HDH Gini = 0.0571</w:t>
      </w:r>
    </w:p>
    <w:p>
      <w:pPr>
        <w:pStyle w:val="FirstParagraph"/>
        <w:spacing w:line="480" w:lineRule="auto" w:before="0" w:after="0"/>
        <w:ind w:firstLine="0"/>
        <w:jc w:val="left"/>
      </w:pPr>
      <w:r>
        <w:rPr>
          <w:rFonts w:ascii="Times New Roman" w:hAnsi="Times New Roman" w:cs="Times New Roman" w:eastAsia="Times New Roman"/>
          <w:sz w:val="24"/>
        </w:rPr>
        <w:t xml:space="preserve">HDH—which combines intensity and duration—was the most unequal metric. The Lorenz curves (Fig. 3a) showed that the hottest 10% of the population bore 11.0% of the HDH burden, while the coolest 50% shared only 45.7%. The asymmetry is modest but systematic. The population-weighted distribution of UTCI mean (Fig. 3e) is right-skewed, indicating that exposure tails (rather than the median) drive the bulk of the Gini signal.</w:t>
      </w:r>
    </w:p>
    <w:p>
      <w:pPr>
        <w:pStyle w:val="BodyText"/>
        <w:spacing w:line="480" w:lineRule="auto" w:before="0" w:after="0"/>
        <w:ind w:firstLine="0"/>
        <w:jc w:val="left"/>
      </w:pPr>
      <w:r>
        <w:rPr>
          <w:rFonts w:ascii="Times New Roman" w:hAnsi="Times New Roman" w:cs="Times New Roman" w:eastAsia="Times New Roman"/>
          <w:sz w:val="24"/>
        </w:rPr>
        <w:t xml:space="preserve">For comparison, a simpler proxy that uses the LCZ-class mean air temperature from Huang et al. (2026) gave Gini = 0.0272 for AT-derived exposure. HDH from real UTCI was 2.1 times more unequal than this proxy (Fig. 3f). Across all metrics, real-UTCI Gini values are 2–6 times higher than the LCZ-AT proxy, demonstrating that real human thermal stress carries substantially more inequality than air temperature alone.</w:t>
      </w:r>
    </w:p>
    <w:bookmarkEnd w:id="30"/>
    <w:bookmarkStart w:id="31" w:name="within-class-inequality-dominates"/>
    <w:p>
      <w:pPr>
        <w:pStyle w:val="Heading2"/>
        <w:spacing w:line="480" w:lineRule="auto" w:before="360" w:after="180"/>
        <w:ind w:firstLine="0"/>
        <w:jc w:val="left"/>
      </w:pPr>
      <w:r>
        <w:rPr>
          <w:rFonts w:ascii="Times New Roman" w:hAnsi="Times New Roman" w:cs="Times New Roman" w:eastAsia="Times New Roman"/>
          <w:b/>
          <w:sz w:val="24"/>
        </w:rPr>
        <w:t xml:space="preserve">3.3 Within-class inequality dominates</w:t>
      </w:r>
    </w:p>
    <w:p>
      <w:pPr>
        <w:pStyle w:val="FirstParagraph"/>
        <w:spacing w:line="480" w:lineRule="auto" w:before="0" w:after="0"/>
        <w:ind w:firstLine="0"/>
        <w:jc w:val="left"/>
      </w:pPr>
      <w:r>
        <w:rPr>
          <w:rFonts w:ascii="Times New Roman" w:hAnsi="Times New Roman" w:cs="Times New Roman" w:eastAsia="Times New Roman"/>
          <w:sz w:val="24"/>
        </w:rPr>
        <w:t xml:space="preserve">The exposure burden is heavily concentrated by LCZ class: LCZ 8 (Large low-rise) alone carries 40.6% of the city’s HDH burden, and the top 10 LCZ classes by exposure share account for 95.6% (Fig. 3b). The built-up LCZ thermal phase space (Fig. 3c) shows that compact classes (LCZ 1–3) cluster at high UTCI mean and high TSD, while open classes (LCZ 4–6) and the heavy-industry class (LCZ 10) span a wider thermal range.</w:t>
      </w:r>
    </w:p>
    <w:p>
      <w:pPr>
        <w:pStyle w:val="BodyText"/>
        <w:spacing w:line="480" w:lineRule="auto" w:before="0" w:after="0"/>
        <w:ind w:firstLine="0"/>
        <w:jc w:val="left"/>
      </w:pPr>
      <w:r>
        <w:rPr>
          <w:rFonts w:ascii="Times New Roman" w:hAnsi="Times New Roman" w:cs="Times New Roman" w:eastAsia="Times New Roman"/>
          <w:sz w:val="24"/>
        </w:rPr>
        <w:t xml:space="preserve">We then applied Pyatt–Yitzhaki decomposition of the HDH Gini at the LCZ-class level (Fig. 3d):</w:t>
      </w:r>
    </w:p>
    <w:p>
      <w:pPr>
        <w:pStyle w:val="BodyText"/>
        <w:spacing w:line="480" w:lineRule="auto" w:before="0" w:after="0"/>
        <w:ind w:firstLine="0"/>
        <w:jc w:val="left"/>
      </w:pPr>
      <m:oMathPara>
        <m:oMathParaPr>
          <m:jc m:val="center"/>
        </m:oMathParaPr>
        <m:oMath>
          <m:sSub>
            <m:e>
              <m:r>
                <m:t>G</m:t>
              </m:r>
            </m:e>
            <m:sub>
              <m:r>
                <m:rPr>
                  <m:sty m:val="p"/>
                </m:rPr>
                <m:t>t</m:t>
              </m:r>
              <m:r>
                <m:rPr>
                  <m:sty m:val="p"/>
                </m:rPr>
                <m:t>o</m:t>
              </m:r>
              <m:r>
                <m:rPr>
                  <m:sty m:val="p"/>
                </m:rPr>
                <m:t>t</m:t>
              </m:r>
              <m:r>
                <m:rPr>
                  <m:sty m:val="p"/>
                </m:rPr>
                <m:t>a</m:t>
              </m:r>
              <m:r>
                <m:rPr>
                  <m:sty m:val="p"/>
                </m:rPr>
                <m:t>l</m:t>
              </m:r>
            </m:sub>
          </m:sSub>
          <m:r>
            <m:rPr>
              <m:sty m:val="p"/>
            </m:rPr>
            <m:t>=</m:t>
          </m:r>
          <m:r>
            <m:t>0.0571</m:t>
          </m:r>
          <m:r>
            <m:rPr>
              <m:sty m:val="p"/>
            </m:rPr>
            <m:t>=</m:t>
          </m:r>
          <m:limLow>
            <m:e>
              <m:limLow>
                <m:e>
                  <m:r>
                    <m:t>0.0231</m:t>
                  </m:r>
                </m:e>
                <m:lim>
                  <m:r>
                    <m:rPr>
                      <m:sty m:val="p"/>
                    </m:rPr>
                    <m:t>⏟</m:t>
                  </m:r>
                </m:lim>
              </m:limLow>
            </m:e>
            <m:lim>
              <m:r>
                <m:t>40.5</m:t>
              </m:r>
              <m:r>
                <m:rPr>
                  <m:sty m:val="p"/>
                </m:rPr>
                <m:t>%</m:t>
              </m:r>
              <m:r>
                <m:rPr>
                  <m:nor/>
                  <m:sty m:val="p"/>
                </m:rPr>
                <m:t> between</m:t>
              </m:r>
            </m:lim>
          </m:limLow>
          <m:r>
            <m:rPr>
              <m:sty m:val="p"/>
            </m:rPr>
            <m:t>+</m:t>
          </m:r>
          <m:limLow>
            <m:e>
              <m:limLow>
                <m:e>
                  <m:r>
                    <m:t>0.0477</m:t>
                  </m:r>
                </m:e>
                <m:lim>
                  <m:r>
                    <m:rPr>
                      <m:sty m:val="p"/>
                    </m:rPr>
                    <m:t>⏟</m:t>
                  </m:r>
                </m:lim>
              </m:limLow>
            </m:e>
            <m:lim>
              <m:r>
                <m:t>83.5</m:t>
              </m:r>
              <m:r>
                <m:rPr>
                  <m:sty m:val="p"/>
                </m:rPr>
                <m:t>%</m:t>
              </m:r>
              <m:r>
                <m:rPr>
                  <m:nor/>
                  <m:sty m:val="p"/>
                </m:rPr>
                <m:t> within</m:t>
              </m:r>
            </m:lim>
          </m:limLow>
          <m:r>
            <m:rPr>
              <m:sty m:val="p"/>
            </m:rPr>
            <m:t>+</m:t>
          </m:r>
          <m:limLow>
            <m:e>
              <m:limLow>
                <m:e>
                  <m:r>
                    <m:rPr>
                      <m:sty m:val="p"/>
                    </m:rPr>
                    <m:t>−</m:t>
                  </m:r>
                  <m:r>
                    <m:t>0.0137</m:t>
                  </m:r>
                </m:e>
                <m:lim>
                  <m:r>
                    <m:rPr>
                      <m:sty m:val="p"/>
                    </m:rPr>
                    <m:t>⏟</m:t>
                  </m:r>
                </m:lim>
              </m:limLow>
            </m:e>
            <m:lim>
              <m:r>
                <m:rPr>
                  <m:sty m:val="p"/>
                </m:rPr>
                <m:t>−</m:t>
              </m:r>
              <m:r>
                <m:t>24.0</m:t>
              </m:r>
              <m:r>
                <m:rPr>
                  <m:sty m:val="p"/>
                </m:rPr>
                <m:t>%</m:t>
              </m:r>
              <m:r>
                <m:rPr>
                  <m:nor/>
                  <m:sty m:val="p"/>
                </m:rPr>
                <m:t> overlap</m:t>
              </m:r>
            </m:lim>
          </m:limLow>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The within-class component is 2.1 times the between-class component. Most heat exposure inequality lies within each LCZ class, not between classes. The pattern held for all three metrics (UTCI mean: 83.5% within; TSD: 82.6%; HDH: 83.5%) and was stable between time windows (within share 83.2–83.5%).</w:t>
      </w:r>
    </w:p>
    <w:p>
      <w:pPr>
        <w:pStyle w:val="BodyText"/>
        <w:spacing w:line="480" w:lineRule="auto" w:before="0" w:after="0"/>
        <w:ind w:firstLine="0"/>
        <w:jc w:val="left"/>
      </w:pPr>
      <w:r>
        <w:rPr>
          <w:rFonts w:ascii="Times New Roman" w:hAnsi="Times New Roman" w:cs="Times New Roman" w:eastAsia="Times New Roman"/>
          <w:sz w:val="24"/>
        </w:rPr>
        <w:t xml:space="preserve">This finding pushes against a common assumption in LCZ research: that LCZ classes alone are enough to stratify microclimate. They are not. The 83.5% within-class share means that one LCZ label hides a lot of thermal variation at the neighborhood scale.</w:t>
      </w:r>
    </w:p>
    <w:bookmarkEnd w:id="31"/>
    <w:bookmarkStart w:id="32" w:name="morphology-driven-subcategories"/>
    <w:p>
      <w:pPr>
        <w:pStyle w:val="Heading2"/>
        <w:spacing w:line="480" w:lineRule="auto" w:before="360" w:after="180"/>
        <w:ind w:firstLine="0"/>
        <w:jc w:val="left"/>
      </w:pPr>
      <w:r>
        <w:rPr>
          <w:rFonts w:ascii="Times New Roman" w:hAnsi="Times New Roman" w:cs="Times New Roman" w:eastAsia="Times New Roman"/>
          <w:b/>
          <w:sz w:val="24"/>
        </w:rPr>
        <w:t xml:space="preserve">3.4 Morphology-driven subcategories</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morphology can explain this within-class variation, we extracted 151,896 OSM building footprints and computed the eight UMPs per 100-m cell. Class-mean UMPs matched the literature: LCZ 1 (Compact high-rise) had BSF = 0.20 and MBH = 44.5 m. LCZ 9 (Sparsely built) had BSF = 0.002 and MBH = 9.8 m.</w:t>
      </w:r>
    </w:p>
    <w:p>
      <w:pPr>
        <w:pStyle w:val="BodyText"/>
        <w:spacing w:line="480" w:lineRule="auto" w:before="0" w:after="0"/>
        <w:ind w:firstLine="0"/>
        <w:jc w:val="left"/>
      </w:pPr>
      <w:r>
        <w:rPr>
          <w:rFonts w:ascii="Times New Roman" w:hAnsi="Times New Roman" w:cs="Times New Roman" w:eastAsia="Times New Roman"/>
          <w:sz w:val="24"/>
        </w:rPr>
        <w:t xml:space="preserve">For each built-up class we ran k-means with</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rPr>
            <m:sty m:val="p"/>
          </m:rPr>
          <m:t>.</m:t>
        </m:r>
        <m:r>
          <m:rPr>
            <m:sty m:val="p"/>
          </m:rPr>
          <m:t>.</m:t>
        </m:r>
        <m:r>
          <m:rPr>
            <m:sty m:val="p"/>
          </m:rPr>
          <m:t>.</m:t>
        </m:r>
        <m:r>
          <m:rPr>
            <m:sty m:val="p"/>
          </m:rPr>
          <m:t>,</m:t>
        </m:r>
        <m:r>
          <m:t>5</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chosen by Silhouette. We obtained 39 subcategories with mean Silhouette = 0.81 (range 0.57–0.99; Fig. 4c, Table 3). Each LCZ class split into 2 subcategories (LCZ 6, LCZ 9) to 5 subcategories (LCZ 1, 2, 3, 4, 5, 8, 10) (Fig. 4a). Subcategory positions in BSF–MBH morphological phase space (Fig. 4b) and the normalised UMP signatures of the five LCZ 1 subcategories (Fig. 4d) confirm that the partition is morphologically meaningful and well separated.</w:t>
      </w:r>
    </w:p>
    <w:p>
      <w:pPr>
        <w:pStyle w:val="BodyText"/>
        <w:spacing w:line="480" w:lineRule="auto" w:before="0" w:after="0"/>
        <w:ind w:firstLine="0"/>
        <w:jc w:val="left"/>
      </w:pPr>
      <w:r>
        <w:rPr>
          <w:rFonts w:ascii="Times New Roman" w:hAnsi="Times New Roman" w:cs="Times New Roman" w:eastAsia="Times New Roman"/>
          <w:sz w:val="24"/>
        </w:rPr>
        <w:t xml:space="preserve">The subcategories captured large morphological diversity. Within LCZ 1 alone, BSF ranged from 0.04 (1A) to 1.00 (1E), and MBH ranged from 4 m (1A) to 286 m (1E)—a 70-fold span in height under one class label (Fig. 4b, d). Such intra-class diversity should, in principle, explain a lot of the within-class thermal heterogeneity.</w:t>
      </w:r>
    </w:p>
    <w:bookmarkEnd w:id="32"/>
    <w:bookmarkStart w:id="34" w:name="the-key-negative-result"/>
    <w:p>
      <w:pPr>
        <w:pStyle w:val="Heading2"/>
        <w:spacing w:line="480" w:lineRule="auto" w:before="360" w:after="180"/>
        <w:ind w:firstLine="0"/>
        <w:jc w:val="left"/>
      </w:pPr>
      <w:r>
        <w:rPr>
          <w:rFonts w:ascii="Times New Roman" w:hAnsi="Times New Roman" w:cs="Times New Roman" w:eastAsia="Times New Roman"/>
          <w:b/>
          <w:sz w:val="24"/>
        </w:rPr>
        <w:t xml:space="preserve">3.5 The key negative result</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morphology absorbs within-class inequality, we restricted the analysis to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nine built-up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1–6, 8–10), where morphology-driven subcategorization is meaningful. Restricting to built-up cells slightly redistributes the Gini decomposition relative to the all-LCZ baseline reported in Section 3.3 (because non-built-up classes such as water and forest contribute mostly between-class variance): within the built-up subset,</w:t>
      </w:r>
      <w:r>
        <w:rPr>
          <w:rFonts w:ascii="Times New Roman" w:hAnsi="Times New Roman" w:cs="Times New Roman" w:eastAsia="Times New Roman"/>
          <w:sz w:val="24"/>
        </w:rPr>
        <w:t xml:space="preserve"> </w:t>
      </w:r>
      <m:oMath>
        <m:sSub>
          <m:e>
            <m:r>
              <m:t>G</m:t>
            </m:r>
          </m:e>
          <m:sub>
            <m:r>
              <m:rPr>
                <m:nor/>
                <m:sty m:val="p"/>
              </m:rPr>
              <m:t>total</m:t>
            </m:r>
          </m:sub>
        </m:sSub>
        <m:r>
          <m:rPr>
            <m:sty m:val="p"/>
          </m:rPr>
          <m:t>=</m:t>
        </m:r>
        <m:r>
          <m:t>0.0558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86.4%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lying within LCZ classes. We then re-applied the Pyatt–Yitzhaki decomposition with the 39 subcategories as the grouping factor (Table 2; Fig. 5a-b):</w:t>
      </w:r>
    </w:p>
    <w:tbl>
      <w:tblPr>
        <w:tblStyle w:val="Table"/>
        <w:tblW w:type="pct" w:w="5000"/>
        <w:tblLayout w:type="fixed"/>
        <w:tblLook w:firstRow="1" w:lastRow="0" w:firstColumn="0" w:lastColumn="0" w:noHBand="0" w:noVBand="0" w:val="0020"/>
      </w:tblPr>
      <w:tblGrid>
        <w:gridCol w:w="910"/>
        <w:gridCol w:w="728"/>
        <w:gridCol w:w="2002"/>
        <w:gridCol w:w="2184"/>
        <w:gridCol w:w="2093"/>
      </w:tblGrid>
      <w:tr>
        <w:trPr>
          <w:tblHeader w:val="on"/>
        </w:trPr>
        <w:tc>
          <w:tcPr/>
          <w:p>
            <w:pPr>
              <w:pStyle w:val="Compact"/>
              <w:spacing w:line="276" w:lineRule="auto" w:before="0" w:after="0"/>
            </w:pPr>
            <w:r>
              <w:rPr>
                <w:rFonts w:ascii="Times New Roman" w:hAnsi="Times New Roman" w:cs="Times New Roman" w:eastAsia="Times New Roman"/>
                <w:sz w:val="22"/>
              </w:rPr>
              <w:t xml:space="preserve">Grouping</w:t>
            </w:r>
          </w:p>
        </w:tc>
        <w:tc>
          <w:tcPr/>
          <w:p>
            <w:pPr>
              <w:pStyle w:val="Compact"/>
              <w:spacing w:line="276" w:lineRule="auto" w:before="0" w:after="0"/>
              <w:jc w:val="center"/>
            </w:pPr>
            <w:r>
              <w:rPr>
                <w:rFonts w:ascii="Times New Roman" w:hAnsi="Times New Roman" w:cs="Times New Roman" w:eastAsia="Times New Roman"/>
                <w:sz w:val="22"/>
              </w:rPr>
              <w:t xml:space="preserve">Groups</w:t>
            </w:r>
          </w:p>
        </w:tc>
        <w:tc>
          <w:tcPr/>
          <w:p>
            <w:pPr>
              <w:pStyle w:val="Compact"/>
              <w:spacing w:line="276" w:lineRule="auto" w:before="0" w:after="0"/>
              <w:jc w:val="center"/>
            </w:pPr>
            <m:oMath>
              <m:sSub>
                <m:e>
                  <m:r>
                    <m:t>G</m:t>
                  </m:r>
                </m:e>
                <m:sub>
                  <m:r>
                    <m:rPr>
                      <m:sty m:val="p"/>
                    </m:rPr>
                    <m:t>t</m:t>
                  </m:r>
                  <m:r>
                    <m:rPr>
                      <m:sty m:val="p"/>
                    </m:rPr>
                    <m:t>o</m:t>
                  </m:r>
                  <m:r>
                    <m:rPr>
                      <m:sty m:val="p"/>
                    </m:rPr>
                    <m:t>t</m:t>
                  </m:r>
                  <m:r>
                    <m:rPr>
                      <m:sty m:val="p"/>
                    </m:rPr>
                    <m:t>a</m:t>
                  </m:r>
                  <m:r>
                    <m:rPr>
                      <m:sty m:val="p"/>
                    </m:rPr>
                    <m:t>l</m:t>
                  </m:r>
                </m:sub>
              </m:sSub>
            </m:oMath>
          </w:p>
        </w:tc>
        <w:tc>
          <w:tcPr/>
          <w:p>
            <w:pPr>
              <w:pStyle w:val="Compact"/>
              <w:spacing w:line="276" w:lineRule="auto" w:before="0" w:after="0"/>
              <w:jc w:val="center"/>
            </w:pPr>
            <m:oMath>
              <m:sSub>
                <m:e>
                  <m:r>
                    <m:t>G</m:t>
                  </m:r>
                </m:e>
                <m:sub>
                  <m:r>
                    <m:rPr>
                      <m:sty m:val="p"/>
                    </m:rPr>
                    <m:t>b</m:t>
                  </m:r>
                  <m:r>
                    <m:rPr>
                      <m:sty m:val="p"/>
                    </m:rPr>
                    <m:t>e</m:t>
                  </m:r>
                  <m:r>
                    <m:rPr>
                      <m:sty m:val="p"/>
                    </m:rPr>
                    <m:t>t</m:t>
                  </m:r>
                  <m:r>
                    <m:rPr>
                      <m:sty m:val="p"/>
                    </m:rPr>
                    <m:t>w</m:t>
                  </m:r>
                  <m:r>
                    <m:rPr>
                      <m:sty m:val="p"/>
                    </m:rPr>
                    <m:t>e</m:t>
                  </m:r>
                  <m:r>
                    <m:rPr>
                      <m:sty m:val="p"/>
                    </m:rPr>
                    <m:t>e</m:t>
                  </m:r>
                  <m:r>
                    <m:rPr>
                      <m:sty m:val="p"/>
                    </m:rPr>
                    <m:t>n</m:t>
                  </m:r>
                </m:sub>
              </m:sSub>
            </m:oMath>
          </w:p>
        </w:tc>
        <w:tc>
          <w:tcPr/>
          <w:p>
            <w:pPr>
              <w:pStyle w:val="Compact"/>
              <w:spacing w:line="276" w:lineRule="auto" w:before="0" w:after="0"/>
              <w:jc w:val="center"/>
            </w:pPr>
            <m:oMath>
              <m:sSub>
                <m:e>
                  <m:r>
                    <m:t>G</m:t>
                  </m:r>
                </m:e>
                <m:sub>
                  <m:r>
                    <m:rPr>
                      <m:sty m:val="p"/>
                    </m:rPr>
                    <m:t>w</m:t>
                  </m:r>
                  <m:r>
                    <m:rPr>
                      <m:sty m:val="p"/>
                    </m:rPr>
                    <m:t>i</m:t>
                  </m:r>
                  <m:r>
                    <m:rPr>
                      <m:sty m:val="p"/>
                    </m:rPr>
                    <m:t>t</m:t>
                  </m:r>
                  <m:r>
                    <m:rPr>
                      <m:sty m:val="p"/>
                    </m:rPr>
                    <m:t>h</m:t>
                  </m:r>
                  <m:r>
                    <m:rPr>
                      <m:sty m:val="p"/>
                    </m:rPr>
                    <m:t>i</m:t>
                  </m:r>
                  <m:r>
                    <m:rPr>
                      <m:sty m:val="p"/>
                    </m:rPr>
                    <m:t>n</m:t>
                  </m:r>
                </m:sub>
              </m:sSub>
            </m:oMath>
          </w:p>
        </w:tc>
      </w:tr>
      <w:tr>
        <w:tc>
          <w:tcPr/>
          <w:p>
            <w:pPr>
              <w:pStyle w:val="Compact"/>
              <w:spacing w:line="276" w:lineRule="auto" w:before="0" w:after="0"/>
            </w:pPr>
            <w:r>
              <w:rPr>
                <w:rFonts w:ascii="Times New Roman" w:hAnsi="Times New Roman" w:cs="Times New Roman" w:eastAsia="Times New Roman"/>
                <w:sz w:val="22"/>
              </w:rPr>
              <w:t xml:space="preserve">LCZ class (built-up only)</w:t>
            </w:r>
          </w:p>
        </w:tc>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37.4%</w:t>
            </w:r>
          </w:p>
        </w:tc>
        <w:tc>
          <w:tcPr/>
          <w:p>
            <w:pPr>
              <w:pStyle w:val="Compact"/>
              <w:spacing w:line="276" w:lineRule="auto" w:before="0" w:after="0"/>
              <w:jc w:val="center"/>
            </w:pPr>
            <w:r>
              <w:rPr>
                <w:rFonts w:ascii="Times New Roman" w:hAnsi="Times New Roman" w:cs="Times New Roman" w:eastAsia="Times New Roman"/>
                <w:sz w:val="22"/>
              </w:rPr>
              <w:t xml:space="preserve">86.4%</w:t>
            </w:r>
          </w:p>
        </w:tc>
      </w:tr>
      <w:tr>
        <w:tc>
          <w:tcPr/>
          <w:p>
            <w:pPr>
              <w:pStyle w:val="Compact"/>
              <w:spacing w:line="276" w:lineRule="auto" w:before="0" w:after="0"/>
            </w:pPr>
            <w:r>
              <w:rPr>
                <w:rFonts w:ascii="Times New Roman" w:hAnsi="Times New Roman" w:cs="Times New Roman" w:eastAsia="Times New Roman"/>
                <w:sz w:val="22"/>
              </w:rPr>
              <w:t xml:space="preserve">LCZ subcategory</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39.9%</w:t>
            </w:r>
          </w:p>
        </w:tc>
        <w:tc>
          <w:tcPr/>
          <w:p>
            <w:pPr>
              <w:pStyle w:val="Compact"/>
              <w:spacing w:line="276" w:lineRule="auto" w:before="0" w:after="0"/>
              <w:jc w:val="center"/>
            </w:pPr>
            <w:r>
              <w:rPr>
                <w:rFonts w:ascii="Times New Roman" w:hAnsi="Times New Roman" w:cs="Times New Roman" w:eastAsia="Times New Roman"/>
                <w:sz w:val="22"/>
              </w:rPr>
              <w:t xml:space="preserve">85.4%</w:t>
            </w:r>
          </w:p>
        </w:tc>
      </w:tr>
    </w:tbl>
    <w:p>
      <w:pPr>
        <w:pStyle w:val="BodyText"/>
        <w:spacing w:line="480" w:lineRule="auto" w:before="0" w:after="0"/>
        <w:ind w:firstLine="0"/>
        <w:jc w:val="left"/>
      </w:pPr>
      <w:r>
        <w:rPr>
          <w:rFonts w:ascii="Times New Roman" w:hAnsi="Times New Roman" w:cs="Times New Roman" w:eastAsia="Times New Roman"/>
          <w:sz w:val="24"/>
        </w:rPr>
        <w:t xml:space="preserve">Despite a 4.3-fold increase in the number of groups, the within-group share fell by only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1.0 percentage point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(86.4% → 85.4%; relative reduction of 1.2%; Fig. 5a). The complementary increase in the between-group share is similarly small (Fig. 5b). This held across all three metrics. The top-10 hottest subcategories (Fig. 5c) are dominated by LCZ 1 (Compact high-rise) variants, and the population-vs-mean-HDH relationship (Fig. 5d) shows that subcategories carrying the bulk of population (&gt;10⁴ residents) cluster narrowly around the median exposure—i.e., exposure does not stratify cleanly along subcategory lines.</w:t>
      </w:r>
    </w:p>
    <w:p>
      <w:pPr>
        <w:pStyle w:val="BodyText"/>
        <w:spacing w:line="480" w:lineRule="auto" w:before="0" w:after="0"/>
        <w:ind w:firstLine="0"/>
        <w:jc w:val="left"/>
      </w:pPr>
      <w:r>
        <w:rPr>
          <w:rFonts w:ascii="Times New Roman" w:hAnsi="Times New Roman" w:cs="Times New Roman" w:eastAsia="Times New Roman"/>
          <w:sz w:val="24"/>
        </w:rPr>
        <w:t xml:space="preserve">This is the key empirical result. Morphology-driven subcategorization, the dominant intra-LCZ refinement strategy in current literature,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does not absorb within-class heat exposure inequality at the 100-m scale</w:t>
      </w:r>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sz w:val="24"/>
        </w:rPr>
        <w:t xml:space="preserve">We propose three explanations:</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Coarse-scale temperature dominates.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Our deviation-injection method ties 100-m UTCI to 25-km ERA5 cells. Within each parent cell, the LCZ-class anomaly spans only about 2.2 K, and morphology adds even smaller within-class spread. The city-scale temperature signal therefore dominates over morphological variation.</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Population concentrates in similar zones.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Five LCZ classes (8, 4, 2, 6, 5) host 88.4% of HDH exposure, and these classes contain many subcategories with similar mean exposure. Subcategorization redistributes exposure but does not segregate it.</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Form is only one driver.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Other factors—proximity to green and blue infrastructure, prevailing wind, distance to coast, anthropogenic heat fluxes—likely shape within-class variation. None of these can be recovered by clustering on building form alone.</w:t>
      </w:r>
    </w:p>
    <w:bookmarkStart w:id="33" w:name="X8a4148c67492d03de4ea8fc5d618ca34db5b034"/>
    <w:p>
      <w:pPr>
        <w:pStyle w:val="Heading3"/>
        <w:spacing w:line="480" w:lineRule="auto" w:before="240" w:after="120"/>
        <w:ind w:firstLine="0"/>
        <w:jc w:val="left"/>
      </w:pPr>
      <w:r>
        <w:rPr>
          <w:rFonts w:ascii="Times New Roman" w:hAnsi="Times New Roman" w:cs="Times New Roman" w:eastAsia="Times New Roman"/>
          <w:b/>
          <w:sz w:val="24"/>
        </w:rPr>
        <w:t xml:space="preserve">3.5.1 Identification diagnostic: how much intra-(parent × LCZ) heterogeneity remains?</w:t>
      </w:r>
    </w:p>
    <w:p>
      <w:pPr>
        <w:pStyle w:val="FirstParagraph"/>
        <w:spacing w:line="480" w:lineRule="auto" w:before="0" w:after="0"/>
        <w:ind w:firstLine="0"/>
        <w:jc w:val="left"/>
      </w:pPr>
      <w:r>
        <w:rPr>
          <w:rFonts w:ascii="Times New Roman" w:hAnsi="Times New Roman" w:cs="Times New Roman" w:eastAsia="Times New Roman"/>
          <w:sz w:val="24"/>
        </w:rPr>
        <w:t xml:space="preserve">Before testing further hypotheses, we quantify how much UTCI variance is structurally constrained by (parent ERA5 cell × LCZ class) membership and how much is residual heterogeneity available to candidate explanatory features (Methods §2.6.2). For Shenzhen July 2020 (212,755 valid built-up cells, 35 effective parent × LCZ groups), the within-group variance share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276" w:lineRule="auto" w:before="0" w:after="0"/>
            </w:pPr>
            <w:r>
              <w:rPr>
                <w:rFonts w:ascii="Times New Roman" w:hAnsi="Times New Roman" w:cs="Times New Roman" w:eastAsia="Times New Roman"/>
                <w:sz w:val="22"/>
              </w:rPr>
              <w:t xml:space="preserve">Variable</w:t>
            </w:r>
          </w:p>
        </w:tc>
        <w:tc>
          <w:tcPr/>
          <w:p>
            <w:pPr>
              <w:pStyle w:val="Compact"/>
              <w:spacing w:line="276" w:lineRule="auto" w:before="0" w:after="0"/>
              <w:jc w:val="center"/>
            </w:pPr>
            <w:r>
              <w:rPr>
                <w:rFonts w:ascii="Times New Roman" w:hAnsi="Times New Roman" w:cs="Times New Roman" w:eastAsia="Times New Roman"/>
                <w:sz w:val="22"/>
              </w:rPr>
              <w:t xml:space="preserve">Within-group variance share</w:t>
            </w:r>
          </w:p>
        </w:tc>
      </w:tr>
      <w:tr>
        <w:tc>
          <w:tcPr/>
          <w:p>
            <w:pPr>
              <w:pStyle w:val="Compact"/>
              <w:spacing w:line="276" w:lineRule="auto" w:before="0" w:after="0"/>
            </w:pPr>
            <w:r>
              <w:rPr>
                <w:rFonts w:ascii="Times New Roman" w:hAnsi="Times New Roman" w:cs="Times New Roman" w:eastAsia="Times New Roman"/>
                <w:sz w:val="22"/>
              </w:rPr>
              <w:t xml:space="preserve">Synthesized UTCI mean (°C)</w:t>
            </w:r>
          </w:p>
        </w:tc>
        <w:tc>
          <w:tcPr/>
          <w:p>
            <w:pPr>
              <w:pStyle w:val="Compact"/>
              <w:spacing w:line="276" w:lineRule="auto" w:before="0" w:after="0"/>
              <w:jc w:val="center"/>
            </w:pPr>
            <w:r>
              <w:rPr>
                <w:rFonts w:ascii="Times New Roman" w:hAnsi="Times New Roman" w:cs="Times New Roman" w:eastAsia="Times New Roman"/>
                <w:b/>
                <w:bCs/>
                <w:sz w:val="22"/>
              </w:rPr>
              <w:t xml:space="preserve">63.5 %</w:t>
            </w:r>
          </w:p>
        </w:tc>
      </w:tr>
      <w:tr>
        <w:tc>
          <w:tcPr/>
          <w:p>
            <w:pPr>
              <w:pStyle w:val="Compact"/>
              <w:spacing w:line="276" w:lineRule="auto" w:before="0" w:after="0"/>
            </w:pPr>
            <w:r>
              <w:rPr>
                <w:rFonts w:ascii="Times New Roman" w:hAnsi="Times New Roman" w:cs="Times New Roman" w:eastAsia="Times New Roman"/>
                <w:sz w:val="22"/>
              </w:rPr>
              <w:t xml:space="preserve">HDH (synthesized, °C·h)</w:t>
            </w:r>
          </w:p>
        </w:tc>
        <w:tc>
          <w:tcPr/>
          <w:p>
            <w:pPr>
              <w:pStyle w:val="Compact"/>
              <w:spacing w:line="276" w:lineRule="auto" w:before="0" w:after="0"/>
              <w:jc w:val="center"/>
            </w:pPr>
            <w:r>
              <w:rPr>
                <w:rFonts w:ascii="Times New Roman" w:hAnsi="Times New Roman" w:cs="Times New Roman" w:eastAsia="Times New Roman"/>
                <w:sz w:val="22"/>
              </w:rPr>
              <w:t xml:space="preserve">64.6 %</w:t>
            </w:r>
          </w:p>
        </w:tc>
      </w:tr>
      <w:tr>
        <w:tc>
          <w:tcPr/>
          <w:p>
            <w:pPr>
              <w:pStyle w:val="Compact"/>
              <w:spacing w:line="276" w:lineRule="auto" w:before="0" w:after="0"/>
            </w:pPr>
            <w:r>
              <w:rPr>
                <w:rFonts w:ascii="Times New Roman" w:hAnsi="Times New Roman" w:cs="Times New Roman" w:eastAsia="Times New Roman"/>
                <w:sz w:val="22"/>
              </w:rPr>
              <w:t xml:space="preserve">BSF (morphology)</w:t>
            </w:r>
          </w:p>
        </w:tc>
        <w:tc>
          <w:tcPr/>
          <w:p>
            <w:pPr>
              <w:pStyle w:val="Compact"/>
              <w:spacing w:line="276" w:lineRule="auto" w:before="0" w:after="0"/>
              <w:jc w:val="center"/>
            </w:pPr>
            <w:r>
              <w:rPr>
                <w:rFonts w:ascii="Times New Roman" w:hAnsi="Times New Roman" w:cs="Times New Roman" w:eastAsia="Times New Roman"/>
                <w:sz w:val="22"/>
              </w:rPr>
              <w:t xml:space="preserve">95.7 %</w:t>
            </w:r>
          </w:p>
        </w:tc>
      </w:tr>
      <w:tr>
        <w:tc>
          <w:tcPr/>
          <w:p>
            <w:pPr>
              <w:pStyle w:val="Compact"/>
              <w:spacing w:line="276" w:lineRule="auto" w:before="0" w:after="0"/>
            </w:pPr>
            <w:r>
              <w:rPr>
                <w:rFonts w:ascii="Times New Roman" w:hAnsi="Times New Roman" w:cs="Times New Roman" w:eastAsia="Times New Roman"/>
                <w:sz w:val="22"/>
              </w:rPr>
              <w:t xml:space="preserve">MBH (morphology)</w:t>
            </w:r>
          </w:p>
        </w:tc>
        <w:tc>
          <w:tcPr/>
          <w:p>
            <w:pPr>
              <w:pStyle w:val="Compact"/>
              <w:spacing w:line="276" w:lineRule="auto" w:before="0" w:after="0"/>
              <w:jc w:val="center"/>
            </w:pPr>
            <w:r>
              <w:rPr>
                <w:rFonts w:ascii="Times New Roman" w:hAnsi="Times New Roman" w:cs="Times New Roman" w:eastAsia="Times New Roman"/>
                <w:sz w:val="22"/>
              </w:rPr>
              <w:t xml:space="preserve">94.7 %</w:t>
            </w:r>
          </w:p>
        </w:tc>
      </w:tr>
      <w:tr>
        <w:tc>
          <w:tcPr/>
          <w:p>
            <w:pPr>
              <w:pStyle w:val="Compact"/>
              <w:spacing w:line="276" w:lineRule="auto" w:before="0" w:after="0"/>
            </w:pPr>
            <w:r>
              <w:rPr>
                <w:rFonts w:ascii="Times New Roman" w:hAnsi="Times New Roman" w:cs="Times New Roman" w:eastAsia="Times New Roman"/>
                <w:sz w:val="22"/>
              </w:rPr>
              <w:t xml:space="preserve">Elevation (real, m)</w:t>
            </w:r>
          </w:p>
        </w:tc>
        <w:tc>
          <w:tcPr/>
          <w:p>
            <w:pPr>
              <w:pStyle w:val="Compact"/>
              <w:spacing w:line="276" w:lineRule="auto" w:before="0" w:after="0"/>
              <w:jc w:val="center"/>
            </w:pPr>
            <w:r>
              <w:rPr>
                <w:rFonts w:ascii="Times New Roman" w:hAnsi="Times New Roman" w:cs="Times New Roman" w:eastAsia="Times New Roman"/>
                <w:sz w:val="22"/>
              </w:rPr>
              <w:t xml:space="preserve">85.5 %</w:t>
            </w:r>
          </w:p>
        </w:tc>
      </w:tr>
      <w:tr>
        <w:tc>
          <w:tcPr/>
          <w:p>
            <w:pPr>
              <w:pStyle w:val="Compact"/>
              <w:spacing w:line="276" w:lineRule="auto" w:before="0" w:after="0"/>
            </w:pPr>
            <w:r>
              <w:rPr>
                <w:rFonts w:ascii="Times New Roman" w:hAnsi="Times New Roman" w:cs="Times New Roman" w:eastAsia="Times New Roman"/>
                <w:sz w:val="22"/>
              </w:rPr>
              <w:t xml:space="preserve">Latitude (geographic)</w:t>
            </w:r>
          </w:p>
        </w:tc>
        <w:tc>
          <w:tcPr/>
          <w:p>
            <w:pPr>
              <w:pStyle w:val="Compact"/>
              <w:spacing w:line="276" w:lineRule="auto" w:before="0" w:after="0"/>
              <w:jc w:val="center"/>
            </w:pPr>
            <w:r>
              <w:rPr>
                <w:rFonts w:ascii="Times New Roman" w:hAnsi="Times New Roman" w:cs="Times New Roman" w:eastAsia="Times New Roman"/>
                <w:sz w:val="22"/>
              </w:rPr>
              <w:t xml:space="preserve">79.3 %</w:t>
            </w:r>
          </w:p>
        </w:tc>
      </w:tr>
      <w:tr>
        <w:tc>
          <w:tcPr/>
          <w:p>
            <w:pPr>
              <w:pStyle w:val="Compact"/>
              <w:spacing w:line="276" w:lineRule="auto" w:before="0" w:after="0"/>
            </w:pPr>
            <w:r>
              <w:rPr>
                <w:rFonts w:ascii="Times New Roman" w:hAnsi="Times New Roman" w:cs="Times New Roman" w:eastAsia="Times New Roman"/>
                <w:sz w:val="22"/>
              </w:rPr>
              <w:t xml:space="preserve">Longitude (geographic)</w:t>
            </w:r>
          </w:p>
        </w:tc>
        <w:tc>
          <w:tcPr/>
          <w:p>
            <w:pPr>
              <w:pStyle w:val="Compact"/>
              <w:spacing w:line="276" w:lineRule="auto" w:before="0" w:after="0"/>
              <w:jc w:val="center"/>
            </w:pPr>
            <w:r>
              <w:rPr>
                <w:rFonts w:ascii="Times New Roman" w:hAnsi="Times New Roman" w:cs="Times New Roman" w:eastAsia="Times New Roman"/>
                <w:sz w:val="22"/>
              </w:rPr>
              <w:t xml:space="preserve">71.0 %</w:t>
            </w:r>
          </w:p>
        </w:tc>
      </w:tr>
    </w:tbl>
    <w:p>
      <w:pPr>
        <w:pStyle w:val="BodyText"/>
        <w:spacing w:line="480" w:lineRule="auto" w:before="0" w:after="0"/>
        <w:ind w:firstLine="0"/>
        <w:jc w:val="left"/>
      </w:pPr>
      <w:r>
        <w:rPr>
          <w:rFonts w:ascii="Times New Roman" w:hAnsi="Times New Roman" w:cs="Times New Roman" w:eastAsia="Times New Roman"/>
          <w:sz w:val="24"/>
        </w:rPr>
        <w:t xml:space="preserve">(Fig. S2; Supplementary Table S1.)</w:t>
      </w:r>
    </w:p>
    <w:p>
      <w:pPr>
        <w:pStyle w:val="BodyText"/>
        <w:spacing w:line="480" w:lineRule="auto" w:before="0" w:after="0"/>
        <w:ind w:firstLine="0"/>
        <w:jc w:val="left"/>
      </w:pPr>
      <w:r>
        <w:rPr>
          <w:rFonts w:ascii="Times New Roman" w:hAnsi="Times New Roman" w:cs="Times New Roman" w:eastAsia="Times New Roman"/>
          <w:sz w:val="24"/>
        </w:rPr>
        <w:t xml:space="preserve">Three observations follow.</w:t>
      </w:r>
    </w:p>
    <w:p>
      <w:pPr>
        <w:pStyle w:val="BodyText"/>
        <w:spacing w:line="480" w:lineRule="auto" w:before="0" w:after="0"/>
        <w:ind w:firstLine="0"/>
        <w:jc w:val="left"/>
      </w:pPr>
      <w:r>
        <w:rPr>
          <w:rFonts w:ascii="Times New Roman" w:hAnsi="Times New Roman" w:cs="Times New Roman" w:eastAsia="Times New Roman"/>
          <w:sz w:val="24"/>
        </w:rPr>
        <w:t xml:space="preserve">First,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synthesized UTCI is only partially constrained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parent-cell + LCZ membership: ~37 % of intra-class variance is structurally determined by the membership pair, but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~63 % constitutes residual heterogeneity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candidate explanatory features can in principle reduce. The deviation-injection synthesis therefore does not collapse all within-(parent × LCZ) cells to identical values; bilinear interpolation of the ERA5 forcing across parent boundaries, time-varying</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residuals, and finite-difference numerical effects preserve a substantial intra-group spread.</w:t>
      </w:r>
    </w:p>
    <w:p>
      <w:pPr>
        <w:pStyle w:val="BodyText"/>
        <w:spacing w:line="480" w:lineRule="auto" w:before="0" w:after="0"/>
        <w:ind w:firstLine="0"/>
        <w:jc w:val="left"/>
      </w:pPr>
      <w:r>
        <w:rPr>
          <w:rFonts w:ascii="Times New Roman" w:hAnsi="Times New Roman" w:cs="Times New Roman" w:eastAsia="Times New Roman"/>
          <w:sz w:val="24"/>
        </w:rPr>
        <w:t xml:space="preserve">Second,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morphology and geography both retain ample within-group variance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(BSF 95.7 %, MBH 94.7 %, elevation 85.5 %, latitude 79.3 %), meaning each feature has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room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explain UTCI residual heterogeneity. The H1–H4 horse race that follows is therefore not a tautology: feature families differ in whether they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room.</w:t>
      </w:r>
    </w:p>
    <w:p>
      <w:pPr>
        <w:pStyle w:val="BodyText"/>
        <w:spacing w:line="480" w:lineRule="auto" w:before="0" w:after="0"/>
        <w:ind w:firstLine="0"/>
        <w:jc w:val="left"/>
      </w:pPr>
      <w:r>
        <w:rPr>
          <w:rFonts w:ascii="Times New Roman" w:hAnsi="Times New Roman" w:cs="Times New Roman" w:eastAsia="Times New Roman"/>
          <w:sz w:val="24"/>
        </w:rPr>
        <w:t xml:space="preserve">Third,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maximum reducible within-class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any feature subcategorization is bounded above by the inter-(parent × LCZ) UTCI variance share, i.e. ~22.9 percentage points (the gap between the LCZ-only within share of 86.4 % and the parent × LCZ within share of 63.5 %; Fig. S2). Against this ceiling, the Phase 6 H4 reduction of 10.8 pp (Section 3.7) corresponds to</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~47 % efficiency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capturing inter-(parent × LCZ) variability. The H1 morphology reduction of 1.0 pp captures ~4 % of the ceiling. We interpret the H1–H4 gap as a genuine difference in feature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explanatory efficiency under the deviation-injection identification structure</w:t>
      </w:r>
      <w:r>
        <w:rPr>
          <w:rFonts w:ascii="Times New Roman" w:hAnsi="Times New Roman" w:cs="Times New Roman" w:eastAsia="Times New Roman"/>
          <w:sz w:val="24"/>
        </w:rPr>
        <w:t xml:space="preserve">, not as an unconditional causal claim about morphology versus geography.</w:t>
      </w:r>
    </w:p>
    <w:p>
      <w:pPr>
        <w:pStyle w:val="BodyText"/>
        <w:spacing w:line="480" w:lineRule="auto" w:before="0" w:after="0"/>
        <w:ind w:firstLine="0"/>
        <w:jc w:val="left"/>
      </w:pPr>
      <w:r>
        <w:rPr>
          <w:rFonts w:ascii="Times New Roman" w:hAnsi="Times New Roman" w:cs="Times New Roman" w:eastAsia="Times New Roman"/>
          <w:sz w:val="24"/>
        </w:rPr>
        <w:t xml:space="preserve">This diagnostic frames the language used throughout the remaining results: where v1 of this paper used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“drives”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“governs”</w:t>
      </w:r>
      <w:r>
        <w:rPr>
          <w:rFonts w:ascii="Times New Roman" w:hAnsi="Times New Roman" w:cs="Times New Roman" w:eastAsia="Times New Roman"/>
          <w:sz w:val="24"/>
        </w:rPr>
        <w:t xml:space="preserve">, v2 uses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most efficient indicator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“captures the largest fraction of inter-group variability”</w:t>
      </w:r>
      <w:r>
        <w:rPr>
          <w:rFonts w:ascii="Times New Roman" w:hAnsi="Times New Roman" w:cs="Times New Roman" w:eastAsia="Times New Roman"/>
          <w:sz w:val="24"/>
        </w:rPr>
        <w:t xml:space="preserve">. Section 4.4 (Limitations) discusses how a higher-resolution synthesis or fully observation-driven 100-m UTCI dataset would tighten or relax these identification bounds.</w:t>
      </w:r>
    </w:p>
    <w:bookmarkEnd w:id="33"/>
    <w:bookmarkEnd w:id="34"/>
    <w:bookmarkStart w:id="35" w:name="Xa80c2411d8b73032b5a38cbdbdf7cd5de9d13ed"/>
    <w:p>
      <w:pPr>
        <w:pStyle w:val="Heading2"/>
        <w:spacing w:line="480" w:lineRule="auto" w:before="360" w:after="180"/>
        <w:ind w:firstLine="0"/>
        <w:jc w:val="left"/>
      </w:pPr>
      <w:r>
        <w:rPr>
          <w:rFonts w:ascii="Times New Roman" w:hAnsi="Times New Roman" w:cs="Times New Roman" w:eastAsia="Times New Roman"/>
          <w:b/>
          <w:sz w:val="24"/>
        </w:rPr>
        <w:t xml:space="preserve">3.6 Topology captures structure that morphology misses</w:t>
      </w:r>
    </w:p>
    <w:p>
      <w:pPr>
        <w:pStyle w:val="FirstParagraph"/>
        <w:spacing w:line="480" w:lineRule="auto" w:before="0" w:after="0"/>
        <w:ind w:firstLine="0"/>
        <w:jc w:val="left"/>
      </w:pPr>
      <w:r>
        <w:rPr>
          <w:rFonts w:ascii="Times New Roman" w:hAnsi="Times New Roman" w:cs="Times New Roman" w:eastAsia="Times New Roman"/>
          <w:sz w:val="24"/>
        </w:rPr>
        <w:t xml:space="preserve">To probe what other features might explain within-class inequality,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applied topological data analysis (TDA) to the 100-m UTCI field.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cubical persistent homology over the full city UTCI map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also for each built-up LCZ class separately (Methods §2.9; Fig. 6).</w:t>
      </w:r>
    </w:p>
    <w:p>
      <w:pPr>
        <w:pStyle w:val="BodyText"/>
        <w:spacing w:line="480" w:lineRule="auto" w:before="0" w:after="0"/>
        <w:ind w:firstLine="0"/>
        <w:jc w:val="left"/>
      </w:pPr>
      <w:r>
        <w:rPr>
          <w:rFonts w:ascii="Times New Roman" w:hAnsi="Times New Roman" w:cs="Times New Roman" w:eastAsia="Times New Roman"/>
          <w:sz w:val="24"/>
        </w:rPr>
        <w:t xml:space="preserve">The city-wide topology reveals a strong heat-island structure.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sublevel filtration peaks sharply at UTCI = 31.08 °C, with 982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connected components (β₀) and 532 holes (β₁) appearing simultaneously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6a). The persistence diagram contains 1,413 significant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above the noise threshold, and the persistence entropy reaches 8.06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6b). These numbers indicate that Shenzhen’s heat field has rich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geometric structure across multiple thresholds, not just a smooth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w:t>
      </w:r>
    </w:p>
    <w:p>
      <w:pPr>
        <w:pStyle w:val="BodyText"/>
        <w:spacing w:line="480" w:lineRule="auto" w:before="0" w:after="0"/>
        <w:ind w:firstLine="0"/>
        <w:jc w:val="left"/>
      </w:pPr>
      <w:r>
        <w:rPr>
          <w:rFonts w:ascii="Times New Roman" w:hAnsi="Times New Roman" w:cs="Times New Roman" w:eastAsia="Times New Roman"/>
          <w:sz w:val="24"/>
        </w:rPr>
        <w:t xml:space="preserve">Per-LCZ topological signatures vary by an order of magnitude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6c–e; Table 5). The persistence images of four representative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classes (LCZ 1, 4, 8, 9) at</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 (Fig. 6c)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qualitatively different patterns. The topological-feature heatmap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6d) reveals that LCZ 6 (Open low-rise) produces 297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sSub>
          <m:e>
            <m:r>
              <m:t>β</m:t>
            </m:r>
          </m:e>
          <m:sub>
            <m:r>
              <m:t>1</m:t>
            </m:r>
          </m:sub>
        </m:sSub>
      </m:oMath>
      <w:r>
        <w:rPr>
          <w:rFonts w:ascii="Times New Roman" w:hAnsi="Times New Roman" w:cs="Times New Roman" w:eastAsia="Times New Roman"/>
          <w:sz w:val="24"/>
        </w:rPr>
        <w:t xml:space="preserve">) and the highest entropy (6.91) of any built-up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 LCZ 1 (Compact high-rise) produces only 1 hole. The pairwise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Wasserstein-2 distance matrix between LCZ classes (Fig. 6e) has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maximum of 21.76 and a minimum of 1.55—a 14× dynamic range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far exceeds the per-class mean UTCI spread of only 2.2 K. Such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 spread indicates that LCZ classes share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distinct topological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fingerprints</w:t>
      </w:r>
      <w:r>
        <w:rPr>
          <w:rFonts w:ascii="Times New Roman" w:hAnsi="Times New Roman" w:cs="Times New Roman" w:eastAsia="Times New Roman"/>
          <w:sz w:val="24"/>
        </w:rPr>
        <w:t xml:space="preserve">, even when their mean UTCI values differ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 K.</w:t>
      </w:r>
    </w:p>
    <w:p>
      <w:pPr>
        <w:pStyle w:val="BodyText"/>
        <w:spacing w:line="480" w:lineRule="auto" w:before="0" w:after="0"/>
        <w:ind w:firstLine="0"/>
        <w:jc w:val="left"/>
      </w:pPr>
      <w:r>
        <w:rPr>
          <w:rFonts w:ascii="Times New Roman" w:hAnsi="Times New Roman" w:cs="Times New Roman" w:eastAsia="Times New Roman"/>
          <w:sz w:val="24"/>
        </w:rPr>
        <w:t xml:space="preserve">This is the central insight of Phase 4. We can now contrast the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lenses directly:</w:t>
      </w:r>
    </w:p>
    <w:p>
      <w:pPr>
        <w:pStyle w:val="Compact"/>
        <w:numPr>
          <w:ilvl w:val="0"/>
          <w:numId w:val="1012"/>
        </w:numPr>
        <w:spacing w:line="480" w:lineRule="auto" w:before="0" w:after="0"/>
        <w:ind w:firstLine="0"/>
        <w:jc w:val="left"/>
      </w:pPr>
      <w:r>
        <w:rPr>
          <w:rFonts w:ascii="Times New Roman" w:hAnsi="Times New Roman" w:cs="Times New Roman" w:eastAsia="Times New Roman"/>
          <w:b/>
          <w:bCs/>
          <w:sz w:val="24"/>
        </w:rPr>
        <w:t xml:space="preserve">Morphology lens</w:t>
      </w:r>
      <w:r>
        <w:rPr>
          <w:rFonts w:ascii="Times New Roman" w:hAnsi="Times New Roman" w:cs="Times New Roman" w:eastAsia="Times New Roman"/>
          <w:sz w:val="24"/>
        </w:rPr>
        <w:t xml:space="preserve">: 39 OSM-UMP subcategories absorb only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percentage point of within-class Gini.</w:t>
      </w:r>
    </w:p>
    <w:p>
      <w:pPr>
        <w:pStyle w:val="Compact"/>
        <w:numPr>
          <w:ilvl w:val="0"/>
          <w:numId w:val="1012"/>
        </w:numPr>
        <w:spacing w:line="480" w:lineRule="auto" w:before="0" w:after="0"/>
        <w:ind w:firstLine="0"/>
        <w:jc w:val="left"/>
      </w:pPr>
      <w:r>
        <w:rPr>
          <w:rFonts w:ascii="Times New Roman" w:hAnsi="Times New Roman" w:cs="Times New Roman" w:eastAsia="Times New Roman"/>
          <w:b/>
          <w:bCs/>
          <w:sz w:val="24"/>
        </w:rPr>
        <w:t xml:space="preserve">Topology lens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 distances between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vary by 14×, even though their mean UTCI values differ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~2.2 K.</w:t>
      </w:r>
    </w:p>
    <w:p>
      <w:pPr>
        <w:pStyle w:val="FirstParagraph"/>
        <w:spacing w:line="480" w:lineRule="auto" w:before="0" w:after="0"/>
        <w:ind w:firstLine="0"/>
        <w:jc w:val="left"/>
      </w:pPr>
      <w:r>
        <w:rPr>
          <w:rFonts w:ascii="Times New Roman" w:hAnsi="Times New Roman" w:cs="Times New Roman" w:eastAsia="Times New Roman"/>
          <w:sz w:val="24"/>
        </w:rPr>
        <w:t xml:space="preserve">Topology therefore captures geometric structure that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alone cannot encode. We see this most strongly in LCZ 6, where 297</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holes correspond to cool patches embedded in a warm matrix—a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pattern invisible to building-form metrics. LCZ 8 (286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exhibits similar behaviour. By contrast, LCZ 1 (only 1 hole) and LCZ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3) produce nearly featureless persistence diagrams, indicating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uniform warm fields with no embedded cool islands.</w:t>
      </w:r>
    </w:p>
    <w:p>
      <w:pPr>
        <w:pStyle w:val="BodyText"/>
        <w:spacing w:line="480" w:lineRule="auto" w:before="0" w:after="0"/>
        <w:ind w:firstLine="0"/>
        <w:jc w:val="left"/>
      </w:pPr>
      <w:r>
        <w:rPr>
          <w:rFonts w:ascii="Times New Roman" w:hAnsi="Times New Roman" w:cs="Times New Roman" w:eastAsia="Times New Roman"/>
          <w:sz w:val="24"/>
        </w:rPr>
        <w:t xml:space="preserve">Future work should fuse topology with morphology to build a richer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subcategorization that may finally close the within-class explanation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gap. We hypothesize that combining persistence-image features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UMPs in the k-means step will yield a within-class Gini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larger than 5 percentage points—well above the 1.0 percentage point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achieved by morphology alone.</w:t>
      </w:r>
    </w:p>
    <w:bookmarkEnd w:id="35"/>
    <w:bookmarkStart w:id="36" w:name="X9b7b09f9f59e02d9b23f916885e0d94c4acc5b9"/>
    <w:p>
      <w:pPr>
        <w:pStyle w:val="Heading2"/>
        <w:spacing w:line="480" w:lineRule="auto" w:before="360" w:after="180"/>
        <w:ind w:firstLine="0"/>
        <w:jc w:val="left"/>
      </w:pPr>
      <w:r>
        <w:rPr>
          <w:rFonts w:ascii="Times New Roman" w:hAnsi="Times New Roman" w:cs="Times New Roman" w:eastAsia="Times New Roman"/>
          <w:b/>
          <w:sz w:val="24"/>
        </w:rPr>
        <w:t xml:space="preserve">3.7 Geographic position breaks the 5 pp barrier</w:t>
      </w:r>
    </w:p>
    <w:p>
      <w:pPr>
        <w:pStyle w:val="FirstParagraph"/>
        <w:spacing w:line="480" w:lineRule="auto" w:before="0" w:after="0"/>
        <w:ind w:firstLine="0"/>
        <w:jc w:val="left"/>
      </w:pPr>
      <w:r>
        <w:rPr>
          <w:rFonts w:ascii="Times New Roman" w:hAnsi="Times New Roman" w:cs="Times New Roman" w:eastAsia="Times New Roman"/>
          <w:sz w:val="24"/>
        </w:rPr>
        <w:t xml:space="preserve">Phases 3–5 demonstrated that two spatial-geometry lenses—building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local UTCI topology—both fail to absorb within-class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then asked: which non-geometric features can?</w:t>
      </w:r>
    </w:p>
    <w:p>
      <w:pPr>
        <w:pStyle w:val="BodyText"/>
        <w:spacing w:line="480" w:lineRule="auto" w:before="0" w:after="0"/>
        <w:ind w:firstLine="0"/>
        <w:jc w:val="left"/>
      </w:pPr>
      <w:r>
        <w:rPr>
          <w:rFonts w:ascii="Times New Roman" w:hAnsi="Times New Roman" w:cs="Times New Roman" w:eastAsia="Times New Roman"/>
          <w:sz w:val="24"/>
        </w:rPr>
        <w:t xml:space="preserve">We tested four feature families that are independent of UTCI itself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avoid circular reasoning, see Methods §2.10):</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 UMPs): BSF, MBH, etc.</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 features): local UTCI std, gradient, etc.</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Population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features): density, log density, smoothed density.</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features): distance to coast, distance to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w:t>
      </w:r>
    </w:p>
    <w:p>
      <w:pPr>
        <w:pStyle w:val="FirstParagraph"/>
        <w:spacing w:line="480" w:lineRule="auto" w:before="0" w:after="0"/>
        <w:ind w:firstLine="0"/>
        <w:jc w:val="left"/>
      </w:pPr>
      <w:r>
        <w:rPr>
          <w:rFonts w:ascii="Times New Roman" w:hAnsi="Times New Roman" w:cs="Times New Roman" w:eastAsia="Times New Roman"/>
          <w:sz w:val="24"/>
        </w:rPr>
        <w:t xml:space="preserve">The results (Fig. 8; Table 6) reveal a clear winner: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w:r>
              <w:rPr>
                <w:rFonts w:ascii="Times New Roman" w:hAnsi="Times New Roman" w:cs="Times New Roman" w:eastAsia="Times New Roman"/>
                <w:sz w:val="22"/>
              </w:rPr>
              <w:t xml:space="preserve">Gini reduction (pp)</w:t>
            </w:r>
          </w:p>
        </w:tc>
      </w:tr>
      <w:tr>
        <w:tc>
          <w:tcPr/>
          <w:p>
            <w:pPr>
              <w:pStyle w:val="Compact"/>
              <w:spacing w:line="276" w:lineRule="auto" w:before="0" w:after="0"/>
              <w:jc w:val="left"/>
            </w:pPr>
            <w:r>
              <w:rPr>
                <w:rFonts w:ascii="Times New Roman" w:hAnsi="Times New Roman" w:cs="Times New Roman" w:eastAsia="Times New Roman"/>
                <w:sz w:val="22"/>
              </w:rPr>
              <w:t xml:space="preserve">A: Form (UMPs)</w:t>
            </w:r>
          </w:p>
        </w:tc>
        <w:tc>
          <w:tcPr/>
          <w:p>
            <w:pPr>
              <w:pStyle w:val="Compact"/>
              <w:spacing w:line="276" w:lineRule="auto" w:before="0" w:after="0"/>
              <w:jc w:val="left"/>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+1.03</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B: Topology</w:t>
            </w:r>
          </w:p>
        </w:tc>
        <w:tc>
          <w:tcPr/>
          <w:p>
            <w:pPr>
              <w:pStyle w:val="Compact"/>
              <w:spacing w:line="276" w:lineRule="auto" w:before="0" w:after="0"/>
              <w:jc w:val="left"/>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C: Form + Topology</w:t>
            </w:r>
          </w:p>
        </w:tc>
        <w:tc>
          <w:tcPr/>
          <w:p>
            <w:pPr>
              <w:pStyle w:val="Compact"/>
              <w:spacing w:line="276" w:lineRule="auto" w:before="0" w:after="0"/>
              <w:jc w:val="left"/>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sz w:val="22"/>
              </w:rPr>
              <w:t xml:space="preserve">+0.89</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D: Population</w:t>
            </w:r>
          </w:p>
        </w:tc>
        <w:tc>
          <w:tcPr/>
          <w:p>
            <w:pPr>
              <w:pStyle w:val="Compact"/>
              <w:spacing w:line="276" w:lineRule="auto" w:before="0" w:after="0"/>
              <w:jc w:val="left"/>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22</w:t>
            </w:r>
          </w:p>
        </w:tc>
        <w:tc>
          <w:tcPr/>
          <w:p>
            <w:pPr>
              <w:pStyle w:val="Compact"/>
              <w:spacing w:line="276" w:lineRule="auto" w:before="0" w:after="0"/>
              <w:jc w:val="center"/>
            </w:pPr>
            <w:r>
              <w:rPr>
                <w:rFonts w:ascii="Times New Roman" w:hAnsi="Times New Roman" w:cs="Times New Roman" w:eastAsia="Times New Roman"/>
                <w:sz w:val="22"/>
              </w:rPr>
              <w:t xml:space="preserve">+4.31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b/>
                <w:bCs/>
                <w:sz w:val="22"/>
              </w:rPr>
              <w:t xml:space="preserve">E: Geography</w:t>
            </w:r>
          </w:p>
        </w:tc>
        <w:tc>
          <w:tcPr/>
          <w:p>
            <w:pPr>
              <w:pStyle w:val="Compact"/>
              <w:spacing w:line="276" w:lineRule="auto" w:before="0" w:after="0"/>
              <w:jc w:val="left"/>
            </w:pPr>
            <w:r>
              <w:rPr>
                <w:rFonts w:ascii="Times New Roman" w:hAnsi="Times New Roman" w:cs="Times New Roman" w:eastAsia="Times New Roman"/>
                <w:b/>
                <w:bCs/>
                <w:sz w:val="22"/>
              </w:rPr>
              <w:t xml:space="preserve">3</w:t>
            </w:r>
          </w:p>
        </w:tc>
        <w:tc>
          <w:tcPr/>
          <w:p>
            <w:pPr>
              <w:pStyle w:val="Compact"/>
              <w:spacing w:line="276" w:lineRule="auto" w:before="0" w:after="0"/>
              <w:jc w:val="center"/>
            </w:pPr>
            <w:r>
              <w:rPr>
                <w:rFonts w:ascii="Times New Roman" w:hAnsi="Times New Roman" w:cs="Times New Roman" w:eastAsia="Times New Roman"/>
                <w:b/>
                <w:bCs/>
                <w:sz w:val="22"/>
              </w:rPr>
              <w:t xml:space="preserve">35</w:t>
            </w:r>
          </w:p>
        </w:tc>
        <w:tc>
          <w:tcPr/>
          <w:p>
            <w:pPr>
              <w:pStyle w:val="Compact"/>
              <w:spacing w:line="276" w:lineRule="auto" w:before="0" w:after="0"/>
              <w:jc w:val="center"/>
            </w:pPr>
            <w:r>
              <w:rPr>
                <w:rFonts w:ascii="Times New Roman" w:hAnsi="Times New Roman" w:cs="Times New Roman" w:eastAsia="Times New Roman"/>
                <w:b/>
                <w:bCs/>
                <w:sz w:val="22"/>
              </w:rPr>
              <w:t xml:space="preserve">+10.81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F: All independent</w:t>
            </w:r>
          </w:p>
        </w:tc>
        <w:tc>
          <w:tcPr/>
          <w:p>
            <w:pPr>
              <w:pStyle w:val="Compact"/>
              <w:spacing w:line="276" w:lineRule="auto" w:before="0" w:after="0"/>
              <w:jc w:val="left"/>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24</w:t>
            </w:r>
          </w:p>
        </w:tc>
        <w:tc>
          <w:tcPr/>
          <w:p>
            <w:pPr>
              <w:pStyle w:val="Compact"/>
              <w:spacing w:line="276" w:lineRule="auto" w:before="0" w:after="0"/>
              <w:jc w:val="center"/>
            </w:pPr>
            <w:r>
              <w:rPr>
                <w:rFonts w:ascii="Times New Roman" w:hAnsi="Times New Roman" w:cs="Times New Roman" w:eastAsia="Times New Roman"/>
                <w:sz w:val="22"/>
              </w:rPr>
              <w:t xml:space="preserve">+0.60</w:t>
            </w:r>
          </w:p>
        </w:tc>
        <w:tc>
          <w:tcPr/>
          <w:p>
            <w:pPr>
              <w:pStyle w:val="Compact"/>
              <w:spacing w:line="276" w:lineRule="auto" w:before="0" w:after="0"/>
            </w:pPr>
          </w:p>
        </w:tc>
      </w:tr>
    </w:tbl>
    <w:p>
      <w:pPr>
        <w:pStyle w:val="BodyText"/>
        <w:spacing w:line="480" w:lineRule="auto" w:before="0" w:after="0"/>
        <w:ind w:firstLine="0"/>
        <w:jc w:val="left"/>
      </w:pPr>
      <w:r>
        <w:rPr>
          <w:rFonts w:ascii="Times New Roman" w:hAnsi="Times New Roman" w:cs="Times New Roman" w:eastAsia="Times New Roman"/>
          <w:b/>
          <w:bCs/>
          <w:sz w:val="24"/>
        </w:rPr>
        <w:t xml:space="preserve">Geographic position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to coast,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elevation proxy) reduces within-class Gini by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10.81</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percentage points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8a), more than ten times the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and easily exceeding the 5 pp threshold. Population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reaches 4.31 pp, suggesting that demographic concentration captures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real exposure patterns but does not, on its own, close the gap.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reduction-vs-feature-count plot (Fig. 8b) shows that small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focused feature sets (D, E) outperform high-dimensional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per-scheme subcategory counts (Fig. 8c) confirm that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geography scheme produces a moderate 35 subcategories—neither too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few (Topology, 19) nor unwieldy (Hybrid, 32 with worse performance).</w:t>
      </w:r>
    </w:p>
    <w:p>
      <w:pPr>
        <w:pStyle w:val="BodyText"/>
        <w:spacing w:line="480" w:lineRule="auto" w:before="0" w:after="0"/>
        <w:ind w:firstLine="0"/>
        <w:jc w:val="left"/>
      </w:pPr>
      <w:r>
        <w:rPr>
          <w:rFonts w:ascii="Times New Roman" w:hAnsi="Times New Roman" w:cs="Times New Roman" w:eastAsia="Times New Roman"/>
          <w:sz w:val="24"/>
        </w:rPr>
        <w:t xml:space="preserve">The combined Scheme F—mixing all 19 independent features—performs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worst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(0.60 pp; Fig. 8d-e). This is a known issue in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called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curse of dimensionality</w:t>
      </w:r>
      <w:r>
        <w:rPr>
          <w:rFonts w:ascii="Times New Roman" w:hAnsi="Times New Roman" w:cs="Times New Roman" w:eastAsia="Times New Roman"/>
          <w:sz w:val="24"/>
        </w:rPr>
        <w:t xml:space="preserve">: when too many noisy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added, k-means partitions become arbitrary and lose interpretive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finding underscores that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matter is more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important than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how many</w:t>
      </w:r>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b/>
          <w:bCs/>
          <w:sz w:val="24"/>
        </w:rPr>
        <w:t xml:space="preserve">Geographic position is a powerful proxy for sea breeze and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mountain shading</w:t>
      </w:r>
      <w:r>
        <w:rPr>
          <w:rFonts w:ascii="Times New Roman" w:hAnsi="Times New Roman" w:cs="Times New Roman" w:eastAsia="Times New Roman"/>
          <w:sz w:val="24"/>
        </w:rPr>
        <w:t xml:space="preserve">, two physical processes that drive Shenzhen’s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local thermal regime. Cells closer to the coast benefit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nighttime sea breezes that flush out accumulated heat. Cells closer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the northern mountains experience extra shading and cooler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flows. Neither effect can be captured by building 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 by morphology-blind topology, which explains why those lenses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failed.</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 for adaptation policy</w:t>
      </w:r>
      <w:r>
        <w:rPr>
          <w:rFonts w:ascii="Times New Roman" w:hAnsi="Times New Roman" w:cs="Times New Roman" w:eastAsia="Times New Roman"/>
          <w:sz w:val="24"/>
        </w:rPr>
        <w:t xml:space="preserve">: Within an LCZ class,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location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more decisive than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form</w:t>
      </w:r>
      <w:r>
        <w:rPr>
          <w:rFonts w:ascii="Times New Roman" w:hAnsi="Times New Roman" w:cs="Times New Roman" w:eastAsia="Times New Roman"/>
          <w:sz w:val="24"/>
        </w:rPr>
        <w:t xml:space="preserve">. Inland cells in dense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(LCZ 2, 3, 4, 8) face larger cumulative heat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their coastal counterparts of the same form.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investment should weight geography first, form second.</w:t>
      </w:r>
    </w:p>
    <w:bookmarkEnd w:id="36"/>
    <w:bookmarkStart w:id="37" w:name="Xde135e14243649bd172a79f7d7d54b2b2b0ae4f"/>
    <w:p>
      <w:pPr>
        <w:pStyle w:val="Heading2"/>
        <w:spacing w:line="480" w:lineRule="auto" w:before="360" w:after="180"/>
        <w:ind w:firstLine="0"/>
        <w:jc w:val="left"/>
      </w:pPr>
      <w:r>
        <w:rPr>
          <w:rFonts w:ascii="Times New Roman" w:hAnsi="Times New Roman" w:cs="Times New Roman" w:eastAsia="Times New Roman"/>
          <w:b/>
          <w:sz w:val="24"/>
        </w:rPr>
        <w:t xml:space="preserve">3.8 Physical mechanism: mountain shading and sea breeze drive within-class inequality</w:t>
      </w:r>
    </w:p>
    <w:p>
      <w:pPr>
        <w:pStyle w:val="FirstParagraph"/>
        <w:spacing w:line="480" w:lineRule="auto" w:before="0" w:after="0"/>
        <w:ind w:firstLine="0"/>
        <w:jc w:val="left"/>
      </w:pPr>
      <w:r>
        <w:rPr>
          <w:rFonts w:ascii="Times New Roman" w:hAnsi="Times New Roman" w:cs="Times New Roman" w:eastAsia="Times New Roman"/>
          <w:sz w:val="24"/>
        </w:rPr>
        <w:t xml:space="preserve">The breakthrough in Section 3.7 raises a physical question: 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process actually moves UTCI inside an LCZ class?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decomposed the geography contribution into single-feature tests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quantified the within-LCZ relation between UTCI and each 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metric (Fig. 9; Table 7).</w:t>
      </w:r>
    </w:p>
    <w:p>
      <w:pPr>
        <w:pStyle w:val="BodyText"/>
        <w:spacing w:line="480" w:lineRule="auto" w:before="0" w:after="0"/>
        <w:ind w:firstLine="0"/>
        <w:jc w:val="left"/>
      </w:pPr>
      <w:r>
        <w:rPr>
          <w:rFonts w:ascii="Times New Roman" w:hAnsi="Times New Roman" w:cs="Times New Roman" w:eastAsia="Times New Roman"/>
          <w:b/>
          <w:bCs/>
          <w:sz w:val="24"/>
        </w:rPr>
        <w:t xml:space="preserve">Mountain distance carries most of the signal.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distance alone reduces within-class Gini by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+9.24 pp</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roughly nine times the morphology baseline and easily above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 pp threshold. Coast distance alone contributes +3.50 pp,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contributes +5.52 pp. </w:t>
      </w:r>
      <w:r>
        <w:rPr>
          <w:rFonts w:ascii="Times New Roman" w:hAnsi="Times New Roman" w:cs="Times New Roman" w:eastAsia="Times New Roman"/>
          <w:b/>
          <w:bCs/>
          <w:sz w:val="24"/>
        </w:rPr>
        <w:t xml:space="preserve">Combining coast and mountain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into a two-feature scheme yields +14.29 pp</w:t>
      </w:r>
      <w:r>
        <w:rPr>
          <w:rFonts w:ascii="Times New Roman" w:hAnsi="Times New Roman" w:cs="Times New Roman" w:eastAsia="Times New Roman"/>
          <w:sz w:val="24"/>
        </w:rPr>
        <w:t xml:space="preserve">—larger than either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single feature alone and 14× the morphology baseline. Adding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as a third feature reduces the result slightly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+11.26 pp, an early sign of dimensionality penalty even at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The bivariate UTCI–distance trends (Fig. 9a, b) make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UTCI rises by 0.2–0.5 °C from the coast inland in most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(Fig. 9a), and is 0.3–0.5 °C cooler in cells close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mountain belt (Fig. 9b). The single-feature reduction values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themselves are summarised in Fig. 9d, and the LCZ-stratified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coast-distance gradient with the coast-to-inland step is shown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9e.</w:t>
      </w:r>
    </w:p>
    <w:p>
      <w:pPr>
        <w:pStyle w:val="BodyText"/>
        <w:spacing w:line="480" w:lineRule="auto" w:before="0" w:after="0"/>
        <w:ind w:firstLine="0"/>
        <w:jc w:val="left"/>
      </w:pPr>
      <w:r>
        <w:rPr>
          <w:rFonts w:ascii="Times New Roman" w:hAnsi="Times New Roman" w:cs="Times New Roman" w:eastAsia="Times New Roman"/>
          <w:b/>
          <w:bCs/>
          <w:sz w:val="24"/>
        </w:rPr>
        <w:t xml:space="preserve">Within-LCZ correlations confirm two distinct physical processes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9c):</w:t>
      </w:r>
    </w:p>
    <w:p>
      <w:pPr>
        <w:pStyle w:val="Compact"/>
        <w:numPr>
          <w:ilvl w:val="0"/>
          <w:numId w:val="1014"/>
        </w:numPr>
        <w:spacing w:line="480" w:lineRule="auto" w:before="0" w:after="0"/>
        <w:ind w:firstLine="0"/>
        <w:jc w:val="left"/>
      </w:pPr>
      <w:r>
        <w:rPr>
          <w:rFonts w:ascii="Times New Roman" w:hAnsi="Times New Roman" w:cs="Times New Roman" w:eastAsia="Times New Roman"/>
          <w:b/>
          <w:bCs/>
          <w:sz w:val="24"/>
        </w:rPr>
        <w:t xml:space="preserve">Sea-breeze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vs distance to coast): Compact LCZs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show modest positive correlation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between +0.14 and +0.32),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meaning cells farther from the coast are warmer. Open LCZs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weaker or negative correlations, suggesting that low-density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lose the sea-breeze advantage when they are not packed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enough to channel the marine air.</w:t>
      </w:r>
    </w:p>
    <w:p>
      <w:pPr>
        <w:pStyle w:val="Compact"/>
        <w:numPr>
          <w:ilvl w:val="0"/>
          <w:numId w:val="1014"/>
        </w:numPr>
        <w:spacing w:line="480" w:lineRule="auto" w:before="0" w:after="0"/>
        <w:ind w:firstLine="0"/>
        <w:jc w:val="left"/>
      </w:pPr>
      <w:r>
        <w:rPr>
          <w:rFonts w:ascii="Times New Roman" w:hAnsi="Times New Roman" w:cs="Times New Roman" w:eastAsia="Times New Roman"/>
          <w:b/>
          <w:bCs/>
          <w:sz w:val="24"/>
        </w:rPr>
        <w:t xml:space="preserve">Mountain shading and katabatic flow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vs 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mountain): Several built-up LCZ classes show</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negative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correlation (</w:t>
      </w:r>
      <m:oMath>
        <m:r>
          <m:t>r</m:t>
        </m:r>
        <m:r>
          <m:rPr>
            <m:sty m:val="p"/>
          </m:rPr>
          <m:t>=</m:t>
        </m:r>
        <m:r>
          <m:rPr>
            <m:sty m:val="p"/>
          </m:rPr>
          <m:t>−</m:t>
        </m:r>
        <m:r>
          <m:t>0.21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0.34</m:t>
        </m:r>
      </m:oMath>
      <w:r>
        <w:rPr>
          <w:rFonts w:ascii="Times New Roman" w:hAnsi="Times New Roman" w:cs="Times New Roman" w:eastAsia="Times New Roman"/>
          <w:sz w:val="24"/>
        </w:rPr>
        <w:t xml:space="preserve">). Cells closer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northern mountain belt benefit from radiation shading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vegetation canopy, lower nighttime temperatures from cool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drainage flows, and slightly higher elevation. The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negative correlations are in LCZ 4 (Open HR,</w:t>
      </w:r>
      <w:r>
        <w:rPr>
          <w:rFonts w:ascii="Times New Roman" w:hAnsi="Times New Roman" w:cs="Times New Roman" w:eastAsia="Times New Roman"/>
          <w:sz w:val="24"/>
        </w:rPr>
        <w:t xml:space="preserve"> </w:t>
      </w:r>
      <m:oMath>
        <m:r>
          <m:t>r</m:t>
        </m:r>
        <m:r>
          <m:rPr>
            <m:sty m:val="p"/>
          </m:rPr>
          <m:t>=</m:t>
        </m:r>
        <m:r>
          <m:rPr>
            <m:sty m:val="p"/>
          </m:rPr>
          <m:t>−</m:t>
        </m:r>
        <m:r>
          <m:t>0.34</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10 (Heavy industry,</w:t>
      </w:r>
      <w:r>
        <w:rPr>
          <w:rFonts w:ascii="Times New Roman" w:hAnsi="Times New Roman" w:cs="Times New Roman" w:eastAsia="Times New Roman"/>
          <w:sz w:val="24"/>
        </w:rPr>
        <w:t xml:space="preserve"> </w:t>
      </w:r>
      <m:oMath>
        <m:r>
          <m:t>r</m:t>
        </m:r>
        <m:r>
          <m:rPr>
            <m:sty m:val="p"/>
          </m:rPr>
          <m:t>=</m:t>
        </m:r>
        <m:r>
          <m:rPr>
            <m:sty m:val="p"/>
          </m:rPr>
          <m:t>−</m:t>
        </m:r>
        <m:r>
          <m:t>0.33</m:t>
        </m:r>
      </m:oMath>
      <w:r>
        <w:rPr>
          <w:rFonts w:ascii="Times New Roman" w:hAnsi="Times New Roman" w:cs="Times New Roman" w:eastAsia="Times New Roman"/>
          <w:sz w:val="24"/>
        </w:rPr>
        <w:t xml:space="preserve">) and LCZ 8 (Large LR,</w:t>
      </w:r>
      <w:r>
        <w:rPr>
          <w:rFonts w:ascii="Times New Roman" w:hAnsi="Times New Roman" w:cs="Times New Roman" w:eastAsia="Times New Roman"/>
          <w:sz w:val="24"/>
        </w:rPr>
        <w:t xml:space="preserve"> </w:t>
      </w:r>
      <m:oMath>
        <m:r>
          <m:t>r</m:t>
        </m:r>
        <m:r>
          <m:rPr>
            <m:sty m:val="p"/>
          </m:rPr>
          <m:t>=</m:t>
        </m:r>
        <m:r>
          <m:rPr>
            <m:sty m:val="p"/>
          </m:rPr>
          <m:t>−</m:t>
        </m:r>
        <m:r>
          <m:t>0.33</m:t>
        </m:r>
      </m:oMath>
      <w:r>
        <w:rPr>
          <w:rFonts w:ascii="Times New Roman" w:hAnsi="Times New Roman" w:cs="Times New Roman" w:eastAsia="Times New Roman"/>
          <w:sz w:val="24"/>
        </w:rPr>
        <w:t xml:space="preserve">).</w:t>
      </w:r>
    </w:p>
    <w:p>
      <w:pPr>
        <w:pStyle w:val="FirstParagraph"/>
        <w:spacing w:line="480" w:lineRule="auto" w:before="0" w:after="0"/>
        <w:ind w:firstLine="0"/>
        <w:jc w:val="left"/>
      </w:pPr>
      <w:r>
        <w:rPr>
          <w:rFonts w:ascii="Times New Roman" w:hAnsi="Times New Roman" w:cs="Times New Roman" w:eastAsia="Times New Roman"/>
          <w:b/>
          <w:bCs/>
          <w:sz w:val="24"/>
        </w:rPr>
        <w:t xml:space="preserve">A clear coast-to-inland gradient is visible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9e). Cells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 1 km of the coast experience mean UTCI = 31.22 °C, TSD = 296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hours, and HDH = 3,915. Cells in the 1–3 km band warm to UTCI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31.37 °C, and inland cells beyond 3 km reach UTCI = 31.42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TSD = 305 h, HDH = 4,068. The coast-to-inland step in HDH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approximately +150 °C·h, confirming a real but modest sea-breeze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relief signal.</w:t>
      </w:r>
    </w:p>
    <w:p>
      <w:pPr>
        <w:pStyle w:val="BodyText"/>
        <w:spacing w:line="480" w:lineRule="auto" w:before="0" w:after="0"/>
        <w:ind w:firstLine="0"/>
        <w:jc w:val="left"/>
      </w:pPr>
      <w:r>
        <w:rPr>
          <w:rFonts w:ascii="Times New Roman" w:hAnsi="Times New Roman" w:cs="Times New Roman" w:eastAsia="Times New Roman"/>
          <w:b/>
          <w:bCs/>
          <w:sz w:val="24"/>
        </w:rPr>
        <w:t xml:space="preserve">Why mountain effects beat coast effects</w:t>
      </w:r>
      <w:r>
        <w:rPr>
          <w:rFonts w:ascii="Times New Roman" w:hAnsi="Times New Roman" w:cs="Times New Roman" w:eastAsia="Times New Roman"/>
          <w:sz w:val="24"/>
        </w:rPr>
        <w:t xml:space="preserve">: Shenzhen’s coastline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highly fragmented (multiple bays, harbors, and reservoirs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mapped as LCZ 17). Most cells are within 1 km of some water body,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which compresses the coast-distance variable to a narrow range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limits its discriminative power. The mountain belt, by contrast,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sits in the well-defined northern third of the city, producing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clean north-south gradient that separates cells more sharply.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 explains why mountain distance dominates the Gini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even though both processes are physically real.</w:t>
      </w:r>
    </w:p>
    <w:p>
      <w:pPr>
        <w:pStyle w:val="BodyText"/>
        <w:spacing w:line="480" w:lineRule="auto" w:before="0" w:after="0"/>
        <w:ind w:firstLine="0"/>
        <w:jc w:val="left"/>
      </w:pPr>
      <w:r>
        <w:rPr>
          <w:rFonts w:ascii="Times New Roman" w:hAnsi="Times New Roman" w:cs="Times New Roman" w:eastAsia="Times New Roman"/>
          <w:b/>
          <w:bCs/>
          <w:sz w:val="24"/>
        </w:rPr>
        <w:t xml:space="preserve">Diminishing returns of geographic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(1) → Coast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(2) → All three (3) yields a non-monotonic sequence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(+3.50, +14.29, +11.26 pp). The three-feature scheme is already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hurt by feature redundancy: the elevation proxy is a function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distance, so adding it brings noise but little new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information. This pattern foreshadows the more severe dimensionality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penalty seen in the 19-feature Scheme F of Section 3.8.</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 for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dominant physical drivers are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building form or local UTCI texture; they are large-scale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position relative to two cooling sources: ocean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Adaptation strategies should therefore prioritise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interventions that mimic these natural processes inland: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ventilation corridors aligned with prevailing sea-breeze direction,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extend the maritime cooling effect inland; and (2) green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infrastructure rings around dense LCZ 8 and LCZ 4 zones in central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districts, to mimic the mountain-belt shading and evapotranspiration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w:t>
      </w:r>
    </w:p>
    <w:bookmarkEnd w:id="37"/>
    <w:bookmarkStart w:id="38" w:name="Xb4e6cf2bf3b420d0332f190f10ed259054eaa95"/>
    <w:p>
      <w:pPr>
        <w:pStyle w:val="Heading2"/>
        <w:spacing w:line="480" w:lineRule="auto" w:before="360" w:after="180"/>
        <w:ind w:firstLine="0"/>
        <w:jc w:val="left"/>
      </w:pPr>
      <w:r>
        <w:rPr>
          <w:rFonts w:ascii="Times New Roman" w:hAnsi="Times New Roman" w:cs="Times New Roman" w:eastAsia="Times New Roman"/>
          <w:b/>
          <w:sz w:val="24"/>
        </w:rPr>
        <w:t xml:space="preserve">3.9 Seasonal robustness across 4 months of 2020</w:t>
      </w:r>
    </w:p>
    <w:p>
      <w:pPr>
        <w:pStyle w:val="FirstParagraph"/>
        <w:spacing w:line="480" w:lineRule="auto" w:before="0" w:after="0"/>
        <w:ind w:firstLine="0"/>
        <w:jc w:val="left"/>
      </w:pPr>
      <w:r>
        <w:rPr>
          <w:rFonts w:ascii="Times New Roman" w:hAnsi="Times New Roman" w:cs="Times New Roman" w:eastAsia="Times New Roman"/>
          <w:sz w:val="24"/>
        </w:rPr>
        <w:t xml:space="preserve">The findings above use July 2020 alone. To test whether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persists across seasons, we synthesized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for January, April, July, and October 2020 (winter, spring,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summer, autumn) and re-ran the Coast/Mountain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(Methods §2.12; Fig. 11; Table 9).</w:t>
      </w:r>
    </w:p>
    <w:tbl>
      <w:tblPr>
        <w:tblStyle w:val="Table"/>
        <w:tblW w:type="pct" w:w="5000"/>
        <w:tblLayout w:type="fixed"/>
        <w:tblLook w:firstRow="1" w:lastRow="0" w:firstColumn="0" w:lastColumn="0" w:noHBand="0" w:noVBand="0" w:val="0020"/>
      </w:tblPr>
      <w:tblGrid>
        <w:gridCol w:w="905"/>
        <w:gridCol w:w="1697"/>
        <w:gridCol w:w="1244"/>
        <w:gridCol w:w="1697"/>
        <w:gridCol w:w="2376"/>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Season</w:t>
            </w:r>
          </w:p>
        </w:tc>
        <w:tc>
          <w:tcPr/>
          <w:p>
            <w:pPr>
              <w:pStyle w:val="Compact"/>
              <w:spacing w:line="276" w:lineRule="auto" w:before="0" w:after="0"/>
              <w:jc w:val="center"/>
            </w:pPr>
            <w:r>
              <w:rPr>
                <w:rFonts w:ascii="Times New Roman" w:hAnsi="Times New Roman" w:cs="Times New Roman" w:eastAsia="Times New Roman"/>
                <w:sz w:val="22"/>
              </w:rPr>
              <w:t xml:space="preserve">Mean UTCI (°C)</w:t>
            </w:r>
          </w:p>
        </w:tc>
        <w:tc>
          <w:tcPr/>
          <w:p>
            <w:pPr>
              <w:pStyle w:val="Compact"/>
              <w:spacing w:line="276" w:lineRule="auto" w:before="0" w:after="0"/>
              <w:jc w:val="center"/>
            </w:pPr>
            <w:r>
              <w:rPr>
                <w:rFonts w:ascii="Times New Roman" w:hAnsi="Times New Roman" w:cs="Times New Roman" w:eastAsia="Times New Roman"/>
                <w:sz w:val="22"/>
              </w:rPr>
              <w:t xml:space="preserve">Coast (pp)</w:t>
            </w:r>
          </w:p>
        </w:tc>
        <w:tc>
          <w:tcPr/>
          <w:p>
            <w:pPr>
              <w:pStyle w:val="Compact"/>
              <w:spacing w:line="276" w:lineRule="auto" w:before="0" w:after="0"/>
              <w:jc w:val="center"/>
            </w:pPr>
            <w:r>
              <w:rPr>
                <w:rFonts w:ascii="Times New Roman" w:hAnsi="Times New Roman" w:cs="Times New Roman" w:eastAsia="Times New Roman"/>
                <w:sz w:val="22"/>
              </w:rPr>
              <w:t xml:space="preserve">Mountain (pp)</w:t>
            </w:r>
          </w:p>
        </w:tc>
        <w:tc>
          <w:tcPr/>
          <w:p>
            <w:pPr>
              <w:pStyle w:val="Compact"/>
              <w:spacing w:line="276" w:lineRule="auto" w:before="0" w:after="0"/>
              <w:jc w:val="center"/>
            </w:pPr>
            <w:r>
              <w:rPr>
                <w:rFonts w:ascii="Times New Roman" w:hAnsi="Times New Roman" w:cs="Times New Roman" w:eastAsia="Times New Roman"/>
                <w:sz w:val="22"/>
              </w:rPr>
              <w:t xml:space="preserve">Coast+Mountain (pp)</w:t>
            </w:r>
          </w:p>
        </w:tc>
      </w:tr>
      <w:tr>
        <w:tc>
          <w:tcPr/>
          <w:p>
            <w:pPr>
              <w:pStyle w:val="Compact"/>
              <w:spacing w:line="276" w:lineRule="auto" w:before="0" w:after="0"/>
              <w:jc w:val="center"/>
            </w:pPr>
            <w:r>
              <w:rPr>
                <w:rFonts w:ascii="Times New Roman" w:hAnsi="Times New Roman" w:cs="Times New Roman" w:eastAsia="Times New Roman"/>
                <w:sz w:val="22"/>
              </w:rPr>
              <w:t xml:space="preserve">Jan (Winter)</w:t>
            </w:r>
          </w:p>
        </w:tc>
        <w:tc>
          <w:tcPr/>
          <w:p>
            <w:pPr>
              <w:pStyle w:val="Compact"/>
              <w:spacing w:line="276" w:lineRule="auto" w:before="0" w:after="0"/>
              <w:jc w:val="center"/>
            </w:pPr>
            <w:r>
              <w:rPr>
                <w:rFonts w:ascii="Times New Roman" w:hAnsi="Times New Roman" w:cs="Times New Roman" w:eastAsia="Times New Roman"/>
                <w:sz w:val="22"/>
              </w:rPr>
              <w:t xml:space="preserve">13.4</w:t>
            </w:r>
          </w:p>
        </w:tc>
        <w:tc>
          <w:tcPr/>
          <w:p>
            <w:pPr>
              <w:pStyle w:val="Compact"/>
              <w:spacing w:line="276" w:lineRule="auto" w:before="0" w:after="0"/>
              <w:jc w:val="center"/>
            </w:pPr>
            <w:r>
              <w:rPr>
                <w:rFonts w:ascii="Times New Roman" w:hAnsi="Times New Roman" w:cs="Times New Roman" w:eastAsia="Times New Roman"/>
                <w:sz w:val="22"/>
              </w:rPr>
              <w:t xml:space="preserve">+3.43</w:t>
            </w:r>
          </w:p>
        </w:tc>
        <w:tc>
          <w:tcPr/>
          <w:p>
            <w:pPr>
              <w:pStyle w:val="Compact"/>
              <w:spacing w:line="276" w:lineRule="auto" w:before="0" w:after="0"/>
              <w:jc w:val="center"/>
            </w:pPr>
            <w:r>
              <w:rPr>
                <w:rFonts w:ascii="Times New Roman" w:hAnsi="Times New Roman" w:cs="Times New Roman" w:eastAsia="Times New Roman"/>
                <w:sz w:val="22"/>
              </w:rPr>
              <w:t xml:space="preserve">+2.65</w:t>
            </w:r>
          </w:p>
        </w:tc>
        <w:tc>
          <w:tcPr/>
          <w:p>
            <w:pPr>
              <w:pStyle w:val="Compact"/>
              <w:spacing w:line="276" w:lineRule="auto" w:before="0" w:after="0"/>
              <w:jc w:val="center"/>
            </w:pPr>
            <w:r>
              <w:rPr>
                <w:rFonts w:ascii="Times New Roman" w:hAnsi="Times New Roman" w:cs="Times New Roman" w:eastAsia="Times New Roman"/>
                <w:b/>
                <w:bCs/>
                <w:sz w:val="22"/>
              </w:rPr>
              <w:t xml:space="preserve">+6.11</w:t>
            </w:r>
          </w:p>
        </w:tc>
      </w:tr>
      <w:tr>
        <w:tc>
          <w:tcPr/>
          <w:p>
            <w:pPr>
              <w:pStyle w:val="Compact"/>
              <w:spacing w:line="276" w:lineRule="auto" w:before="0" w:after="0"/>
              <w:jc w:val="center"/>
            </w:pPr>
            <w:r>
              <w:rPr>
                <w:rFonts w:ascii="Times New Roman" w:hAnsi="Times New Roman" w:cs="Times New Roman" w:eastAsia="Times New Roman"/>
                <w:sz w:val="22"/>
              </w:rPr>
              <w:t xml:space="preserve">Apr (Spring)</w:t>
            </w:r>
          </w:p>
        </w:tc>
        <w:tc>
          <w:tcPr/>
          <w:p>
            <w:pPr>
              <w:pStyle w:val="Compact"/>
              <w:spacing w:line="276" w:lineRule="auto" w:before="0" w:after="0"/>
              <w:jc w:val="center"/>
            </w:pPr>
            <w:r>
              <w:rPr>
                <w:rFonts w:ascii="Times New Roman" w:hAnsi="Times New Roman" w:cs="Times New Roman" w:eastAsia="Times New Roman"/>
                <w:sz w:val="22"/>
              </w:rPr>
              <w:t xml:space="preserve">20.3</w:t>
            </w:r>
          </w:p>
        </w:tc>
        <w:tc>
          <w:tcPr/>
          <w:p>
            <w:pPr>
              <w:pStyle w:val="Compact"/>
              <w:spacing w:line="276" w:lineRule="auto" w:before="0" w:after="0"/>
              <w:jc w:val="center"/>
            </w:pPr>
            <w:r>
              <w:rPr>
                <w:rFonts w:ascii="Times New Roman" w:hAnsi="Times New Roman" w:cs="Times New Roman" w:eastAsia="Times New Roman"/>
                <w:sz w:val="22"/>
              </w:rPr>
              <w:t xml:space="preserve">+3.56</w:t>
            </w:r>
          </w:p>
        </w:tc>
        <w:tc>
          <w:tcPr/>
          <w:p>
            <w:pPr>
              <w:pStyle w:val="Compact"/>
              <w:spacing w:line="276" w:lineRule="auto" w:before="0" w:after="0"/>
              <w:jc w:val="center"/>
            </w:pPr>
            <w:r>
              <w:rPr>
                <w:rFonts w:ascii="Times New Roman" w:hAnsi="Times New Roman" w:cs="Times New Roman" w:eastAsia="Times New Roman"/>
                <w:sz w:val="22"/>
              </w:rPr>
              <w:t xml:space="preserve">+4.70</w:t>
            </w:r>
          </w:p>
        </w:tc>
        <w:tc>
          <w:tcPr/>
          <w:p>
            <w:pPr>
              <w:pStyle w:val="Compact"/>
              <w:spacing w:line="276" w:lineRule="auto" w:before="0" w:after="0"/>
              <w:jc w:val="center"/>
            </w:pPr>
            <w:r>
              <w:rPr>
                <w:rFonts w:ascii="Times New Roman" w:hAnsi="Times New Roman" w:cs="Times New Roman" w:eastAsia="Times New Roman"/>
                <w:b/>
                <w:bCs/>
                <w:sz w:val="22"/>
              </w:rPr>
              <w:t xml:space="preserve">+8.06</w:t>
            </w:r>
          </w:p>
        </w:tc>
      </w:tr>
      <w:tr>
        <w:tc>
          <w:tcPr/>
          <w:p>
            <w:pPr>
              <w:pStyle w:val="Compact"/>
              <w:spacing w:line="276" w:lineRule="auto" w:before="0" w:after="0"/>
              <w:jc w:val="center"/>
            </w:pPr>
            <w:r>
              <w:rPr>
                <w:rFonts w:ascii="Times New Roman" w:hAnsi="Times New Roman" w:cs="Times New Roman" w:eastAsia="Times New Roman"/>
                <w:sz w:val="22"/>
              </w:rPr>
              <w:t xml:space="preserve">Jul (Summer)</w:t>
            </w:r>
          </w:p>
        </w:tc>
        <w:tc>
          <w:tcPr/>
          <w:p>
            <w:pPr>
              <w:pStyle w:val="Compact"/>
              <w:spacing w:line="276" w:lineRule="auto" w:before="0" w:after="0"/>
              <w:jc w:val="center"/>
            </w:pPr>
            <w:r>
              <w:rPr>
                <w:rFonts w:ascii="Times New Roman" w:hAnsi="Times New Roman" w:cs="Times New Roman" w:eastAsia="Times New Roman"/>
                <w:sz w:val="22"/>
              </w:rPr>
              <w:t xml:space="preserve">31.0</w:t>
            </w:r>
          </w:p>
        </w:tc>
        <w:tc>
          <w:tcPr/>
          <w:p>
            <w:pPr>
              <w:pStyle w:val="Compact"/>
              <w:spacing w:line="276" w:lineRule="auto" w:before="0" w:after="0"/>
              <w:jc w:val="center"/>
            </w:pPr>
            <w:r>
              <w:rPr>
                <w:rFonts w:ascii="Times New Roman" w:hAnsi="Times New Roman" w:cs="Times New Roman" w:eastAsia="Times New Roman"/>
                <w:sz w:val="22"/>
              </w:rPr>
              <w:t xml:space="preserve">+3.54</w:t>
            </w:r>
          </w:p>
        </w:tc>
        <w:tc>
          <w:tcPr/>
          <w:p>
            <w:pPr>
              <w:pStyle w:val="Compact"/>
              <w:spacing w:line="276" w:lineRule="auto" w:before="0" w:after="0"/>
              <w:jc w:val="center"/>
            </w:pPr>
            <w:r>
              <w:rPr>
                <w:rFonts w:ascii="Times New Roman" w:hAnsi="Times New Roman" w:cs="Times New Roman" w:eastAsia="Times New Roman"/>
                <w:sz w:val="22"/>
              </w:rPr>
              <w:t xml:space="preserve">+8.63</w:t>
            </w:r>
          </w:p>
        </w:tc>
        <w:tc>
          <w:tcPr/>
          <w:p>
            <w:pPr>
              <w:pStyle w:val="Compact"/>
              <w:spacing w:line="276" w:lineRule="auto" w:before="0" w:after="0"/>
              <w:jc w:val="center"/>
            </w:pPr>
            <w:r>
              <w:rPr>
                <w:rFonts w:ascii="Times New Roman" w:hAnsi="Times New Roman" w:cs="Times New Roman" w:eastAsia="Times New Roman"/>
                <w:b/>
                <w:bCs/>
                <w:sz w:val="22"/>
              </w:rPr>
              <w:t xml:space="preserve">+11.31</w:t>
            </w:r>
          </w:p>
        </w:tc>
      </w:tr>
      <w:tr>
        <w:tc>
          <w:tcPr/>
          <w:p>
            <w:pPr>
              <w:pStyle w:val="Compact"/>
              <w:spacing w:line="276" w:lineRule="auto" w:before="0" w:after="0"/>
              <w:jc w:val="center"/>
            </w:pPr>
            <w:r>
              <w:rPr>
                <w:rFonts w:ascii="Times New Roman" w:hAnsi="Times New Roman" w:cs="Times New Roman" w:eastAsia="Times New Roman"/>
                <w:sz w:val="22"/>
              </w:rPr>
              <w:t xml:space="preserve">Oct (Autumn)</w:t>
            </w:r>
          </w:p>
        </w:tc>
        <w:tc>
          <w:tcPr/>
          <w:p>
            <w:pPr>
              <w:pStyle w:val="Compact"/>
              <w:spacing w:line="276" w:lineRule="auto" w:before="0" w:after="0"/>
              <w:jc w:val="center"/>
            </w:pPr>
            <w:r>
              <w:rPr>
                <w:rFonts w:ascii="Times New Roman" w:hAnsi="Times New Roman" w:cs="Times New Roman" w:eastAsia="Times New Roman"/>
                <w:sz w:val="22"/>
              </w:rPr>
              <w:t xml:space="preserve">22.1</w:t>
            </w:r>
          </w:p>
        </w:tc>
        <w:tc>
          <w:tcPr/>
          <w:p>
            <w:pPr>
              <w:pStyle w:val="Compact"/>
              <w:spacing w:line="276" w:lineRule="auto" w:before="0" w:after="0"/>
              <w:jc w:val="center"/>
            </w:pPr>
            <w:r>
              <w:rPr>
                <w:rFonts w:ascii="Times New Roman" w:hAnsi="Times New Roman" w:cs="Times New Roman" w:eastAsia="Times New Roman"/>
                <w:sz w:val="22"/>
              </w:rPr>
              <w:t xml:space="preserve">+3.55</w:t>
            </w:r>
          </w:p>
        </w:tc>
        <w:tc>
          <w:tcPr/>
          <w:p>
            <w:pPr>
              <w:pStyle w:val="Compact"/>
              <w:spacing w:line="276" w:lineRule="auto" w:before="0" w:after="0"/>
              <w:jc w:val="center"/>
            </w:pPr>
            <w:r>
              <w:rPr>
                <w:rFonts w:ascii="Times New Roman" w:hAnsi="Times New Roman" w:cs="Times New Roman" w:eastAsia="Times New Roman"/>
                <w:sz w:val="22"/>
              </w:rPr>
              <w:t xml:space="preserve">+5.21</w:t>
            </w:r>
          </w:p>
        </w:tc>
        <w:tc>
          <w:tcPr/>
          <w:p>
            <w:pPr>
              <w:pStyle w:val="Compact"/>
              <w:spacing w:line="276" w:lineRule="auto" w:before="0" w:after="0"/>
              <w:jc w:val="center"/>
            </w:pPr>
            <w:r>
              <w:rPr>
                <w:rFonts w:ascii="Times New Roman" w:hAnsi="Times New Roman" w:cs="Times New Roman" w:eastAsia="Times New Roman"/>
                <w:b/>
                <w:bCs/>
                <w:sz w:val="22"/>
              </w:rPr>
              <w:t xml:space="preserve">+8.47</w:t>
            </w:r>
          </w:p>
        </w:tc>
      </w:tr>
    </w:tbl>
    <w:p>
      <w:pPr>
        <w:pStyle w:val="BodyText"/>
        <w:spacing w:line="480" w:lineRule="auto" w:before="0" w:after="0"/>
        <w:ind w:firstLine="0"/>
        <w:jc w:val="left"/>
      </w:pPr>
      <w:r>
        <w:rPr>
          <w:rFonts w:ascii="Times New Roman" w:hAnsi="Times New Roman" w:cs="Times New Roman" w:eastAsia="Times New Roman"/>
          <w:sz w:val="24"/>
        </w:rPr>
        <w:t xml:space="preserve">Three patterns emerge:</w:t>
      </w:r>
    </w:p>
    <w:p>
      <w:pPr>
        <w:pStyle w:val="BodyText"/>
        <w:spacing w:line="480" w:lineRule="auto" w:before="0" w:after="0"/>
        <w:ind w:firstLine="0"/>
        <w:jc w:val="left"/>
      </w:pPr>
      <w:r>
        <w:rPr>
          <w:rFonts w:ascii="Times New Roman" w:hAnsi="Times New Roman" w:cs="Times New Roman" w:eastAsia="Times New Roman"/>
          <w:b/>
          <w:bCs/>
          <w:sz w:val="24"/>
        </w:rPr>
        <w:t xml:space="preserve">The combined Coast + Mountain scheme exceeds the 5 pp threshold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 every season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+6.11 to +11.31 pp; Fig. 11a).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is therefore not a summer-only artifact. Even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when both sea-breeze and katabatic flows are weakest,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two distance features together absorb 6 pp of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HDH Gini. The seasonal mean-UTCI baseline ranges from 13.4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(winter) to 31.0 °C (summer; Fig. 11b), confirming that the four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months span the full subtropical seasonal cycle.</w:t>
      </w:r>
    </w:p>
    <w:p>
      <w:pPr>
        <w:pStyle w:val="BodyText"/>
        <w:spacing w:line="480" w:lineRule="auto" w:before="0" w:after="0"/>
        <w:ind w:firstLine="0"/>
        <w:jc w:val="left"/>
      </w:pPr>
      <w:r>
        <w:rPr>
          <w:rFonts w:ascii="Times New Roman" w:hAnsi="Times New Roman" w:cs="Times New Roman" w:eastAsia="Times New Roman"/>
          <w:b/>
          <w:bCs/>
          <w:sz w:val="24"/>
        </w:rPr>
        <w:t xml:space="preserve">Coast-distance Gini reduction is remarkably stable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11c):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+3.43 to +3.56 pp across all four seasons, a range of only 0.13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stability has a clean physical interpretation. Sea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intensity varies sharply with season (strongest in summer, weakest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but the maritime heat-buffering effect (low diurnal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over the ocean) operates year-round through the ocean’s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high heat capacity. The two effects partly compensate to keep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contribution roughly constant.</w:t>
      </w:r>
    </w:p>
    <w:p>
      <w:pPr>
        <w:pStyle w:val="BodyText"/>
        <w:spacing w:line="480" w:lineRule="auto" w:before="0" w:after="0"/>
        <w:ind w:firstLine="0"/>
        <w:jc w:val="left"/>
      </w:pPr>
      <w:r>
        <w:rPr>
          <w:rFonts w:ascii="Times New Roman" w:hAnsi="Times New Roman" w:cs="Times New Roman" w:eastAsia="Times New Roman"/>
          <w:b/>
          <w:bCs/>
          <w:sz w:val="24"/>
        </w:rPr>
        <w:t xml:space="preserve">Mountain-distance Gini reduction varies by 3.3×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(+2.65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winter to +8.63 in summer). The mountain mechanism therefore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peaks when the meteorological drivers it depends on are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stronger solar radiation (canopy shading, evapotranspiration)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warmer surfaces (greater day-night temperature contrast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drainage). This seasonal pattern matches the diurnal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pattern of Section 3.10 (mountain effect peaks at night,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is strongest)—both findings point to the same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underlying physics.</w:t>
      </w:r>
    </w:p>
    <w:p>
      <w:pPr>
        <w:pStyle w:val="BodyText"/>
        <w:spacing w:line="480" w:lineRule="auto" w:before="0" w:after="0"/>
        <w:ind w:firstLine="0"/>
        <w:jc w:val="left"/>
      </w:pPr>
      <w:r>
        <w:rPr>
          <w:rFonts w:ascii="Times New Roman" w:hAnsi="Times New Roman" w:cs="Times New Roman" w:eastAsia="Times New Roman"/>
          <w:sz w:val="24"/>
        </w:rPr>
        <w:t xml:space="preserve">The total Gini (</w:t>
      </w:r>
      <m:oMath>
        <m:sSub>
          <m:e>
            <m:r>
              <m:t>G</m:t>
            </m:r>
          </m:e>
          <m:sub>
            <m:r>
              <m:rPr>
                <m:nor/>
                <m:sty m:val="p"/>
              </m:rPr>
              <m:t>total</m:t>
            </m:r>
          </m:sub>
        </m:sSub>
      </m:oMath>
      <w:r>
        <w:rPr>
          <w:rFonts w:ascii="Times New Roman" w:hAnsi="Times New Roman" w:cs="Times New Roman" w:eastAsia="Times New Roman"/>
          <w:sz w:val="24"/>
        </w:rPr>
        <w:t xml:space="preserve">) varies markedly with season,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0.055 in summer to 0.331 in winter. Counter-intuitively,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higher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but this reflects the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relative spread in low-temperature UTCI (some sheltered urban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stay near 15 °C while exposed cells dip below 0 °C) rather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greater human risk. Summer inequality is smaller in relative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terms but more health-relevant, because all cells are above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strong-heat-stress threshold (UTCI &gt; 32 °C).</w:t>
      </w:r>
    </w:p>
    <w:p>
      <w:pPr>
        <w:pStyle w:val="BodyText"/>
        <w:spacing w:line="480" w:lineRule="auto" w:before="0" w:after="0"/>
        <w:ind w:firstLine="0"/>
        <w:jc w:val="left"/>
      </w:pPr>
      <w:r>
        <w:rPr>
          <w:rFonts w:ascii="Times New Roman" w:hAnsi="Times New Roman" w:cs="Times New Roman" w:eastAsia="Times New Roman"/>
          <w:sz w:val="24"/>
        </w:rPr>
        <w:t xml:space="preserve">The seasonal evidence therefore confirms and refines our July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narrative: geography dominates morphology year-round, with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acting as a stable buffer and mountain providing a season-amplified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modulator.</w:t>
      </w:r>
    </w:p>
    <w:bookmarkEnd w:id="38"/>
    <w:bookmarkStart w:id="39" w:name="X49738631debe9fa640ae966b1b9cb9ba05b34bf"/>
    <w:p>
      <w:pPr>
        <w:pStyle w:val="Heading2"/>
        <w:spacing w:line="480" w:lineRule="auto" w:before="360" w:after="180"/>
        <w:ind w:firstLine="0"/>
        <w:jc w:val="left"/>
      </w:pPr>
      <w:r>
        <w:rPr>
          <w:rFonts w:ascii="Times New Roman" w:hAnsi="Times New Roman" w:cs="Times New Roman" w:eastAsia="Times New Roman"/>
          <w:b/>
          <w:sz w:val="24"/>
        </w:rPr>
        <w:t xml:space="preserve">3.10 Diurnal validation: sea breeze and katabatic flow signatures</w:t>
      </w:r>
    </w:p>
    <w:p>
      <w:pPr>
        <w:pStyle w:val="FirstParagraph"/>
        <w:spacing w:line="480" w:lineRule="auto" w:before="0" w:after="0"/>
        <w:ind w:firstLine="0"/>
        <w:jc w:val="left"/>
      </w:pPr>
      <w:r>
        <w:rPr>
          <w:rFonts w:ascii="Times New Roman" w:hAnsi="Times New Roman" w:cs="Times New Roman" w:eastAsia="Times New Roman"/>
          <w:sz w:val="24"/>
        </w:rPr>
        <w:t xml:space="preserve">The physical mechanisms proposed in Section 3.8 (sea breeze for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effect, katabatic flow plus radiative cooling for the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make specific testable predictions about diurnal asymmetry:</w:t>
      </w:r>
    </w:p>
    <w:p>
      <w:pPr>
        <w:pStyle w:val="Compact"/>
        <w:numPr>
          <w:ilvl w:val="0"/>
          <w:numId w:val="1015"/>
        </w:numPr>
        <w:spacing w:line="480" w:lineRule="auto" w:before="0" w:after="0"/>
        <w:ind w:firstLine="0"/>
        <w:jc w:val="left"/>
      </w:pPr>
      <w:r>
        <w:rPr>
          <w:rFonts w:ascii="Times New Roman" w:hAnsi="Times New Roman" w:cs="Times New Roman" w:eastAsia="Times New Roman"/>
          <w:b/>
          <w:bCs/>
          <w:sz w:val="24"/>
        </w:rPr>
        <w:t xml:space="preserve">H1</w:t>
      </w:r>
      <w:r>
        <w:rPr>
          <w:rFonts w:ascii="Times New Roman" w:hAnsi="Times New Roman" w:cs="Times New Roman" w:eastAsia="Times New Roman"/>
          <w:sz w:val="24"/>
        </w:rPr>
        <w:t xml:space="preserve">: If sea breeze drives the coast effect, the coast-distance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reduction should be larger during the day, when the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most active.</w:t>
      </w:r>
    </w:p>
    <w:p>
      <w:pPr>
        <w:pStyle w:val="Compact"/>
        <w:numPr>
          <w:ilvl w:val="0"/>
          <w:numId w:val="1015"/>
        </w:numPr>
        <w:spacing w:line="480" w:lineRule="auto" w:before="0" w:after="0"/>
        <w:ind w:firstLine="0"/>
        <w:jc w:val="left"/>
      </w:pPr>
      <w:r>
        <w:rPr>
          <w:rFonts w:ascii="Times New Roman" w:hAnsi="Times New Roman" w:cs="Times New Roman" w:eastAsia="Times New Roman"/>
          <w:b/>
          <w:bCs/>
          <w:sz w:val="24"/>
        </w:rPr>
        <w:t xml:space="preserve">H2</w:t>
      </w:r>
      <w:r>
        <w:rPr>
          <w:rFonts w:ascii="Times New Roman" w:hAnsi="Times New Roman" w:cs="Times New Roman" w:eastAsia="Times New Roman"/>
          <w:sz w:val="24"/>
        </w:rPr>
        <w:t xml:space="preserve">: If katabatic flow drives the mountain effect,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Gini reduction should be larger at night,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cool drainage flow is strongest.</w:t>
      </w:r>
    </w:p>
    <w:p>
      <w:pPr>
        <w:pStyle w:val="FirstParagraph"/>
        <w:spacing w:line="480" w:lineRule="auto" w:before="0" w:after="0"/>
        <w:ind w:firstLine="0"/>
        <w:jc w:val="left"/>
      </w:pPr>
      <w:r>
        <w:rPr>
          <w:rFonts w:ascii="Times New Roman" w:hAnsi="Times New Roman" w:cs="Times New Roman" w:eastAsia="Times New Roman"/>
          <w:sz w:val="24"/>
        </w:rPr>
        <w:t xml:space="preserve">We re-synthesized the 100-m UTCI hourly series and split it by local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 Day = SHT 08:00–20:00 (12 h), Night = SHT 20:00–08:00 (12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then re-ran the Coast/Mountain Gini decomposition separately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and night Heat Degree Hours. Mean UTCI dropped from 33.59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to 28.32 °C (night), a 5.27 K diurnal range that is typical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subtropical urban climates. Results (Fig. 10; Table 8) confirm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hypotheses: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center"/>
            </w:pPr>
            <w:r>
              <w:rPr>
                <w:rFonts w:ascii="Times New Roman" w:hAnsi="Times New Roman" w:cs="Times New Roman" w:eastAsia="Times New Roman"/>
                <w:sz w:val="22"/>
              </w:rPr>
              <w:t xml:space="preserve">Day reduction (pp)</w:t>
            </w:r>
          </w:p>
        </w:tc>
        <w:tc>
          <w:tcPr/>
          <w:p>
            <w:pPr>
              <w:pStyle w:val="Compact"/>
              <w:spacing w:line="276" w:lineRule="auto" w:before="0" w:after="0"/>
              <w:jc w:val="center"/>
            </w:pPr>
            <w:r>
              <w:rPr>
                <w:rFonts w:ascii="Times New Roman" w:hAnsi="Times New Roman" w:cs="Times New Roman" w:eastAsia="Times New Roman"/>
                <w:sz w:val="22"/>
              </w:rPr>
              <w:t xml:space="preserve">Night reduction (pp)</w:t>
            </w:r>
          </w:p>
        </w:tc>
        <w:tc>
          <w:tcPr/>
          <w:p>
            <w:pPr>
              <w:pStyle w:val="Compact"/>
              <w:spacing w:line="276" w:lineRule="auto" w:before="0" w:after="0"/>
              <w:jc w:val="center"/>
            </w:pPr>
            <w:r>
              <w:rPr>
                <w:rFonts w:ascii="Times New Roman" w:hAnsi="Times New Roman" w:cs="Times New Roman" w:eastAsia="Times New Roman"/>
                <w:sz w:val="22"/>
              </w:rPr>
              <w:t xml:space="preserve">Day/night ratio</w:t>
            </w:r>
          </w:p>
        </w:tc>
      </w:tr>
      <w:tr>
        <w:tc>
          <w:tcPr/>
          <w:p>
            <w:pPr>
              <w:pStyle w:val="Compact"/>
              <w:spacing w:line="276" w:lineRule="auto" w:before="0" w:after="0"/>
              <w:jc w:val="left"/>
            </w:pPr>
            <w:r>
              <w:rPr>
                <w:rFonts w:ascii="Times New Roman" w:hAnsi="Times New Roman" w:cs="Times New Roman" w:eastAsia="Times New Roman"/>
                <w:sz w:val="22"/>
              </w:rPr>
              <w:t xml:space="preserve">Coast only</w:t>
            </w:r>
          </w:p>
        </w:tc>
        <w:tc>
          <w:tcPr/>
          <w:p>
            <w:pPr>
              <w:pStyle w:val="Compact"/>
              <w:spacing w:line="276" w:lineRule="auto" w:before="0" w:after="0"/>
              <w:jc w:val="center"/>
            </w:pPr>
            <w:r>
              <w:rPr>
                <w:rFonts w:ascii="Times New Roman" w:hAnsi="Times New Roman" w:cs="Times New Roman" w:eastAsia="Times New Roman"/>
                <w:sz w:val="22"/>
              </w:rPr>
              <w:t xml:space="preserve">+3.62</w:t>
            </w:r>
          </w:p>
        </w:tc>
        <w:tc>
          <w:tcPr/>
          <w:p>
            <w:pPr>
              <w:pStyle w:val="Compact"/>
              <w:spacing w:line="276" w:lineRule="auto" w:before="0" w:after="0"/>
              <w:jc w:val="center"/>
            </w:pPr>
            <w:r>
              <w:rPr>
                <w:rFonts w:ascii="Times New Roman" w:hAnsi="Times New Roman" w:cs="Times New Roman" w:eastAsia="Times New Roman"/>
                <w:sz w:val="22"/>
              </w:rPr>
              <w:t xml:space="preserve">+2.61</w:t>
            </w:r>
          </w:p>
        </w:tc>
        <w:tc>
          <w:tcPr/>
          <w:p>
            <w:pPr>
              <w:pStyle w:val="Compact"/>
              <w:spacing w:line="276" w:lineRule="auto" w:before="0" w:after="0"/>
              <w:jc w:val="center"/>
            </w:pPr>
            <w:r>
              <w:rPr>
                <w:rFonts w:ascii="Times New Roman" w:hAnsi="Times New Roman" w:cs="Times New Roman" w:eastAsia="Times New Roman"/>
                <w:sz w:val="22"/>
              </w:rPr>
              <w:t xml:space="preserve">1.39×</w:t>
            </w:r>
          </w:p>
        </w:tc>
      </w:tr>
      <w:tr>
        <w:tc>
          <w:tcPr/>
          <w:p>
            <w:pPr>
              <w:pStyle w:val="Compact"/>
              <w:spacing w:line="276" w:lineRule="auto" w:before="0" w:after="0"/>
              <w:jc w:val="left"/>
            </w:pPr>
            <w:r>
              <w:rPr>
                <w:rFonts w:ascii="Times New Roman" w:hAnsi="Times New Roman" w:cs="Times New Roman" w:eastAsia="Times New Roman"/>
                <w:sz w:val="22"/>
              </w:rPr>
              <w:t xml:space="preserve">Mountain only</w:t>
            </w:r>
          </w:p>
        </w:tc>
        <w:tc>
          <w:tcPr/>
          <w:p>
            <w:pPr>
              <w:pStyle w:val="Compact"/>
              <w:spacing w:line="276" w:lineRule="auto" w:before="0" w:after="0"/>
              <w:jc w:val="center"/>
            </w:pPr>
            <w:r>
              <w:rPr>
                <w:rFonts w:ascii="Times New Roman" w:hAnsi="Times New Roman" w:cs="Times New Roman" w:eastAsia="Times New Roman"/>
                <w:sz w:val="22"/>
              </w:rPr>
              <w:t xml:space="preserve">+7.44</w:t>
            </w:r>
          </w:p>
        </w:tc>
        <w:tc>
          <w:tcPr/>
          <w:p>
            <w:pPr>
              <w:pStyle w:val="Compact"/>
              <w:spacing w:line="276" w:lineRule="auto" w:before="0" w:after="0"/>
              <w:jc w:val="center"/>
            </w:pPr>
            <w:r>
              <w:rPr>
                <w:rFonts w:ascii="Times New Roman" w:hAnsi="Times New Roman" w:cs="Times New Roman" w:eastAsia="Times New Roman"/>
                <w:sz w:val="22"/>
              </w:rPr>
              <w:t xml:space="preserve">+8.68</w:t>
            </w:r>
          </w:p>
        </w:tc>
        <w:tc>
          <w:tcPr/>
          <w:p>
            <w:pPr>
              <w:pStyle w:val="Compact"/>
              <w:spacing w:line="276" w:lineRule="auto" w:before="0" w:after="0"/>
              <w:jc w:val="center"/>
            </w:pPr>
            <w:r>
              <w:rPr>
                <w:rFonts w:ascii="Times New Roman" w:hAnsi="Times New Roman" w:cs="Times New Roman" w:eastAsia="Times New Roman"/>
                <w:sz w:val="22"/>
              </w:rPr>
              <w:t xml:space="preserve">0.86×</w:t>
            </w:r>
          </w:p>
        </w:tc>
      </w:tr>
      <w:tr>
        <w:tc>
          <w:tcPr/>
          <w:p>
            <w:pPr>
              <w:pStyle w:val="Compact"/>
              <w:spacing w:line="276" w:lineRule="auto" w:before="0" w:after="0"/>
              <w:jc w:val="left"/>
            </w:pPr>
            <w:r>
              <w:rPr>
                <w:rFonts w:ascii="Times New Roman" w:hAnsi="Times New Roman" w:cs="Times New Roman" w:eastAsia="Times New Roman"/>
                <w:sz w:val="22"/>
              </w:rPr>
              <w:t xml:space="preserve">Coast + Mountain</w:t>
            </w:r>
          </w:p>
        </w:tc>
        <w:tc>
          <w:tcPr/>
          <w:p>
            <w:pPr>
              <w:pStyle w:val="Compact"/>
              <w:spacing w:line="276" w:lineRule="auto" w:before="0" w:after="0"/>
              <w:jc w:val="center"/>
            </w:pPr>
            <w:r>
              <w:rPr>
                <w:rFonts w:ascii="Times New Roman" w:hAnsi="Times New Roman" w:cs="Times New Roman" w:eastAsia="Times New Roman"/>
                <w:sz w:val="22"/>
              </w:rPr>
              <w:t xml:space="preserve">+12.41</w:t>
            </w:r>
          </w:p>
        </w:tc>
        <w:tc>
          <w:tcPr/>
          <w:p>
            <w:pPr>
              <w:pStyle w:val="Compact"/>
              <w:spacing w:line="276" w:lineRule="auto" w:before="0" w:after="0"/>
              <w:jc w:val="center"/>
            </w:pPr>
            <w:r>
              <w:rPr>
                <w:rFonts w:ascii="Times New Roman" w:hAnsi="Times New Roman" w:cs="Times New Roman" w:eastAsia="Times New Roman"/>
                <w:sz w:val="22"/>
              </w:rPr>
              <w:t xml:space="preserve">+11.47</w:t>
            </w:r>
          </w:p>
        </w:tc>
        <w:tc>
          <w:tcPr/>
          <w:p>
            <w:pPr>
              <w:pStyle w:val="Compact"/>
              <w:spacing w:line="276" w:lineRule="auto" w:before="0" w:after="0"/>
              <w:jc w:val="center"/>
            </w:pPr>
            <w:r>
              <w:rPr>
                <w:rFonts w:ascii="Times New Roman" w:hAnsi="Times New Roman" w:cs="Times New Roman" w:eastAsia="Times New Roman"/>
                <w:sz w:val="22"/>
              </w:rPr>
              <w:t xml:space="preserve">1.08×</w:t>
            </w:r>
          </w:p>
        </w:tc>
      </w:tr>
    </w:tbl>
    <w:p>
      <w:pPr>
        <w:pStyle w:val="BodyText"/>
        <w:spacing w:line="480" w:lineRule="auto" w:before="0" w:after="0"/>
        <w:ind w:firstLine="0"/>
        <w:jc w:val="left"/>
      </w:pPr>
      <w:r>
        <w:rPr>
          <w:rFonts w:ascii="Times New Roman" w:hAnsi="Times New Roman" w:cs="Times New Roman" w:eastAsia="Times New Roman"/>
          <w:b/>
          <w:bCs/>
          <w:sz w:val="24"/>
        </w:rPr>
        <w:t xml:space="preserve">H1 confirmed</w:t>
      </w:r>
      <w:r>
        <w:rPr>
          <w:rFonts w:ascii="Times New Roman" w:hAnsi="Times New Roman" w:cs="Times New Roman" w:eastAsia="Times New Roman"/>
          <w:sz w:val="24"/>
        </w:rPr>
        <w:t xml:space="preserve">: Coast-distance Gini reduction is 39 %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during the day (+3.62 vs +2.61 pp; Fig. 10a). The diurnal asymmetry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matches the expected daytime peak of the sea breeze,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day-vs-night UTCI–coast-distance curves (Fig. 10d) make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the daytime curve has a steeper inland-warming slope than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nighttime curve. The night-time effect remains positive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smaller, consistent with a residual maritime heat-buffering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ocean’s slow cooling stabilises nighttime coastal UTCI).</w:t>
      </w:r>
    </w:p>
    <w:p>
      <w:pPr>
        <w:pStyle w:val="BodyText"/>
        <w:spacing w:line="480" w:lineRule="auto" w:before="0" w:after="0"/>
        <w:ind w:firstLine="0"/>
        <w:jc w:val="left"/>
      </w:pPr>
      <w:r>
        <w:rPr>
          <w:rFonts w:ascii="Times New Roman" w:hAnsi="Times New Roman" w:cs="Times New Roman" w:eastAsia="Times New Roman"/>
          <w:b/>
          <w:bCs/>
          <w:sz w:val="24"/>
        </w:rPr>
        <w:t xml:space="preserve">H2 confirmed</w:t>
      </w:r>
      <w:r>
        <w:rPr>
          <w:rFonts w:ascii="Times New Roman" w:hAnsi="Times New Roman" w:cs="Times New Roman" w:eastAsia="Times New Roman"/>
          <w:sz w:val="24"/>
        </w:rPr>
        <w:t xml:space="preserve">: Mountain-distance Gini reduction is 17 %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 (+8.68 vs +7.44 pp; Fig. 10a). Cool drainage flows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northern mountain belt act as a direct overnight ventilation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source for the foothill cells. Daytime reduction is also large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(+7.44 pp), indicating that mountain-related cooling is not solely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night process: vegetation evapotranspiration, canopy shading,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slightly elevated terrain all contribute throughout the day.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day-vs-night UTCI–mountain-distance curves (Fig. 10e) confirm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slightly stronger nighttime gradient.</w:t>
      </w:r>
    </w:p>
    <w:p>
      <w:pPr>
        <w:pStyle w:val="BodyText"/>
        <w:spacing w:line="480" w:lineRule="auto" w:before="0" w:after="0"/>
        <w:ind w:firstLine="0"/>
        <w:jc w:val="left"/>
      </w:pPr>
      <w:r>
        <w:rPr>
          <w:rFonts w:ascii="Times New Roman" w:hAnsi="Times New Roman" w:cs="Times New Roman" w:eastAsia="Times New Roman"/>
          <w:b/>
          <w:bCs/>
          <w:sz w:val="24"/>
        </w:rPr>
        <w:t xml:space="preserve">Within-LCZ correlations confirm the same pattern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10b–c).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largest negative day-vs-night swing in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(UTCI, mountain)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LCZ 8 (Large LR):</w:t>
      </w:r>
      <w:r>
        <w:rPr>
          <w:rFonts w:ascii="Times New Roman" w:hAnsi="Times New Roman" w:cs="Times New Roman" w:eastAsia="Times New Roman"/>
          <w:sz w:val="24"/>
        </w:rPr>
        <w:t xml:space="preserve"> </w:t>
      </w:r>
      <m:oMath>
        <m:r>
          <m:t>r</m:t>
        </m:r>
        <m:r>
          <m:rPr>
            <m:sty m:val="p"/>
          </m:rPr>
          <m:t>=</m:t>
        </m:r>
        <m:r>
          <m:rPr>
            <m:sty m:val="p"/>
          </m:rPr>
          <m:t>−</m:t>
        </m:r>
        <m:r>
          <m:t>0.28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w:t>
      </w:r>
      <w:r>
        <w:rPr>
          <w:rFonts w:ascii="Times New Roman" w:hAnsi="Times New Roman" w:cs="Times New Roman" w:eastAsia="Times New Roman"/>
          <w:sz w:val="24"/>
        </w:rPr>
        <w:t xml:space="preserve"> </w:t>
      </w:r>
      <m:oMath>
        <m:r>
          <m:t>r</m:t>
        </m:r>
        <m:r>
          <m:rPr>
            <m:sty m:val="p"/>
          </m:rPr>
          <m:t>=</m:t>
        </m:r>
        <m:r>
          <m:rPr>
            <m:sty m:val="p"/>
          </m:rPr>
          <m:t>−</m:t>
        </m:r>
        <m:r>
          <m:t>0.38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strengthening of the mountain-cooling signal at night. LCZ 1 shows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interesting reversal:</w:t>
      </w:r>
      <w:r>
        <w:rPr>
          <w:rFonts w:ascii="Times New Roman" w:hAnsi="Times New Roman" w:cs="Times New Roman" w:eastAsia="Times New Roman"/>
          <w:sz w:val="24"/>
        </w:rPr>
        <w:t xml:space="preserve"> </w:t>
      </w:r>
      <m:oMath>
        <m:r>
          <m:t>r</m:t>
        </m:r>
        <m:r>
          <m:rPr>
            <m:sty m:val="p"/>
          </m:rPr>
          <m:t>=</m:t>
        </m:r>
        <m:r>
          <m:rPr>
            <m:sty m:val="p"/>
          </m:rPr>
          <m:t>−</m:t>
        </m:r>
        <m:r>
          <m:t>0.06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w:t>
      </w:r>
      <w:r>
        <w:rPr>
          <w:rFonts w:ascii="Times New Roman" w:hAnsi="Times New Roman" w:cs="Times New Roman" w:eastAsia="Times New Roman"/>
          <w:sz w:val="24"/>
        </w:rPr>
        <w:t xml:space="preserve"> </w:t>
      </w:r>
      <m:oMath>
        <m:r>
          <m:t>r</m:t>
        </m:r>
        <m:r>
          <m:rPr>
            <m:sty m:val="p"/>
          </m:rPr>
          <m:t>=</m:t>
        </m:r>
        <m:r>
          <m:rPr>
            <m:sty m:val="p"/>
          </m:rPr>
          <m:t>+</m:t>
        </m:r>
        <m:r>
          <m:t>0.27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indicating that the compact-high-rise CBD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farther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hotter at night—a signature of urban-heat-island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nocturnal retention that is independent of the mountain mechanism.</w:t>
      </w:r>
    </w:p>
    <w:p>
      <w:pPr>
        <w:pStyle w:val="BodyText"/>
        <w:spacing w:line="480" w:lineRule="auto" w:before="0" w:after="0"/>
        <w:ind w:firstLine="0"/>
        <w:jc w:val="left"/>
      </w:pPr>
      <w:r>
        <w:rPr>
          <w:rFonts w:ascii="Times New Roman" w:hAnsi="Times New Roman" w:cs="Times New Roman" w:eastAsia="Times New Roman"/>
          <w:sz w:val="24"/>
        </w:rPr>
        <w:t xml:space="preserve">The diurnal evidence promotes the physical interpretation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Section 3.9 from a plausible mechanism to a directly tested one.</w:t>
      </w:r>
    </w:p>
    <w:bookmarkEnd w:id="39"/>
    <w:bookmarkStart w:id="40" w:name="Xe88f2a83c9577bb3a4e0ad10ffeb4a1e34300fe"/>
    <w:p>
      <w:pPr>
        <w:pStyle w:val="Heading2"/>
        <w:spacing w:line="480" w:lineRule="auto" w:before="360" w:after="180"/>
        <w:ind w:firstLine="0"/>
        <w:jc w:val="left"/>
      </w:pPr>
      <w:r>
        <w:rPr>
          <w:rFonts w:ascii="Times New Roman" w:hAnsi="Times New Roman" w:cs="Times New Roman" w:eastAsia="Times New Roman"/>
          <w:b/>
          <w:sz w:val="24"/>
        </w:rPr>
        <w:t xml:space="preserve">3.11 Cross-city validation: geographic mechanism is city-dependent</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the geographic mechanism (Phase 6–7) generalises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beyond Shenzhen, we extended the analysis to two additional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in the Greater Bay Area (GBA): Guangzhou and 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These three cities span a wide range of urban geometry:</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Shenzhen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(1.9% water, 41.5% mountain, 54.6% built-up): bay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coastline + continuous northern mountain belt (baseline).</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Guangzhou</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(4.1% water, 36.4% mountain, 51.5% built-up):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 sprawling inland city with scattered mountains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Baiyun Mountain) and the Pearl River.</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(6.6% water, 15.9% mountain, 66.7% built-up):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industrial plain with dense river network and isolated 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hills.</w:t>
      </w:r>
    </w:p>
    <w:p>
      <w:pPr>
        <w:pStyle w:val="FirstParagraph"/>
        <w:spacing w:line="480" w:lineRule="auto" w:before="0" w:after="0"/>
        <w:ind w:firstLine="0"/>
        <w:jc w:val="left"/>
      </w:pPr>
      <w:r>
        <w:rPr>
          <w:rFonts w:ascii="Times New Roman" w:hAnsi="Times New Roman" w:cs="Times New Roman" w:eastAsia="Times New Roman"/>
          <w:sz w:val="24"/>
        </w:rPr>
        <w:t xml:space="preserve">For each city we downloaded ERA5-HEAT for January, April, July,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October 2020, computed coast/mountain distances from the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 and ran the Coast/Mountain/Coast+Mountain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(12 city-season combinations total). Results (Fig. 12; Table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reveal 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city-dependent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contrary to 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initial hypothesis of GBA-wide universality: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City</w:t>
            </w:r>
          </w:p>
        </w:tc>
        <w:tc>
          <w:tcPr/>
          <w:p>
            <w:pPr>
              <w:pStyle w:val="Compact"/>
              <w:spacing w:line="276" w:lineRule="auto" w:before="0" w:after="0"/>
              <w:jc w:val="center"/>
            </w:pPr>
            <w:r>
              <w:rPr>
                <w:rFonts w:ascii="Times New Roman" w:hAnsi="Times New Roman" w:cs="Times New Roman" w:eastAsia="Times New Roman"/>
                <w:sz w:val="22"/>
              </w:rPr>
              <w:t xml:space="preserve">Winter</w:t>
            </w:r>
          </w:p>
        </w:tc>
        <w:tc>
          <w:tcPr/>
          <w:p>
            <w:pPr>
              <w:pStyle w:val="Compact"/>
              <w:spacing w:line="276" w:lineRule="auto" w:before="0" w:after="0"/>
              <w:jc w:val="center"/>
            </w:pPr>
            <w:r>
              <w:rPr>
                <w:rFonts w:ascii="Times New Roman" w:hAnsi="Times New Roman" w:cs="Times New Roman" w:eastAsia="Times New Roman"/>
                <w:sz w:val="22"/>
              </w:rPr>
              <w:t xml:space="preserve">Spring</w:t>
            </w:r>
          </w:p>
        </w:tc>
        <w:tc>
          <w:tcPr/>
          <w:p>
            <w:pPr>
              <w:pStyle w:val="Compact"/>
              <w:spacing w:line="276" w:lineRule="auto" w:before="0" w:after="0"/>
              <w:jc w:val="center"/>
            </w:pPr>
            <w:r>
              <w:rPr>
                <w:rFonts w:ascii="Times New Roman" w:hAnsi="Times New Roman" w:cs="Times New Roman" w:eastAsia="Times New Roman"/>
                <w:sz w:val="22"/>
              </w:rPr>
              <w:t xml:space="preserve">Summer</w:t>
            </w:r>
          </w:p>
        </w:tc>
        <w:tc>
          <w:tcPr/>
          <w:p>
            <w:pPr>
              <w:pStyle w:val="Compact"/>
              <w:spacing w:line="276" w:lineRule="auto" w:before="0" w:after="0"/>
              <w:jc w:val="center"/>
            </w:pPr>
            <w:r>
              <w:rPr>
                <w:rFonts w:ascii="Times New Roman" w:hAnsi="Times New Roman" w:cs="Times New Roman" w:eastAsia="Times New Roman"/>
                <w:sz w:val="22"/>
              </w:rPr>
              <w:t xml:space="preserve">Autumn</w:t>
            </w:r>
          </w:p>
        </w:tc>
        <w:tc>
          <w:tcPr/>
          <w:p>
            <w:pPr>
              <w:pStyle w:val="Compact"/>
              <w:spacing w:line="276" w:lineRule="auto" w:before="0" w:after="0"/>
              <w:jc w:val="center"/>
            </w:pPr>
            <w:r>
              <w:rPr>
                <w:rFonts w:ascii="Times New Roman" w:hAnsi="Times New Roman" w:cs="Times New Roman" w:eastAsia="Times New Roman"/>
                <w:sz w:val="22"/>
              </w:rPr>
              <w:t xml:space="preserve">Pass rate</w:t>
            </w:r>
          </w:p>
        </w:tc>
      </w:tr>
      <w:tr>
        <w:tc>
          <w:tcPr/>
          <w:p>
            <w:pPr>
              <w:pStyle w:val="Compact"/>
              <w:spacing w:line="276" w:lineRule="auto" w:before="0" w:after="0"/>
              <w:jc w:val="center"/>
            </w:pPr>
            <w:r>
              <w:rPr>
                <w:rFonts w:ascii="Times New Roman" w:hAnsi="Times New Roman" w:cs="Times New Roman" w:eastAsia="Times New Roman"/>
                <w:b/>
                <w:bCs/>
                <w:sz w:val="22"/>
              </w:rPr>
              <w:t xml:space="preserve">Shenzhen</w:t>
            </w:r>
          </w:p>
        </w:tc>
        <w:tc>
          <w:tcPr/>
          <w:p>
            <w:pPr>
              <w:pStyle w:val="Compact"/>
              <w:spacing w:line="276" w:lineRule="auto" w:before="0" w:after="0"/>
              <w:jc w:val="center"/>
            </w:pPr>
            <w:r>
              <w:rPr>
                <w:rFonts w:ascii="Times New Roman" w:hAnsi="Times New Roman" w:cs="Times New Roman" w:eastAsia="Times New Roman"/>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+8.47</w:t>
            </w:r>
          </w:p>
        </w:tc>
        <w:tc>
          <w:tcPr/>
          <w:p>
            <w:pPr>
              <w:pStyle w:val="Compact"/>
              <w:spacing w:line="276" w:lineRule="auto" w:before="0" w:after="0"/>
              <w:jc w:val="center"/>
            </w:pPr>
            <w:r>
              <w:rPr>
                <w:rFonts w:ascii="Times New Roman" w:hAnsi="Times New Roman" w:cs="Times New Roman" w:eastAsia="Times New Roman"/>
                <w:b/>
                <w:bCs/>
                <w:sz w:val="22"/>
              </w:rPr>
              <w:t xml:space="preserve">100% (4/4)</w:t>
            </w:r>
          </w:p>
        </w:tc>
      </w:tr>
      <w:tr>
        <w:tc>
          <w:tcPr/>
          <w:p>
            <w:pPr>
              <w:pStyle w:val="Compact"/>
              <w:spacing w:line="276" w:lineRule="auto" w:before="0" w:after="0"/>
              <w:jc w:val="center"/>
            </w:pPr>
            <w:r>
              <w:rPr>
                <w:rFonts w:ascii="Times New Roman" w:hAnsi="Times New Roman" w:cs="Times New Roman" w:eastAsia="Times New Roman"/>
                <w:b/>
                <w:bCs/>
                <w:sz w:val="22"/>
              </w:rPr>
              <w:t xml:space="preserve">Dongguan</w:t>
            </w:r>
          </w:p>
        </w:tc>
        <w:tc>
          <w:tcPr/>
          <w:p>
            <w:pPr>
              <w:pStyle w:val="Compact"/>
              <w:spacing w:line="276" w:lineRule="auto" w:before="0" w:after="0"/>
              <w:jc w:val="center"/>
            </w:pPr>
            <w:r>
              <w:rPr>
                <w:rFonts w:ascii="Times New Roman" w:hAnsi="Times New Roman" w:cs="Times New Roman" w:eastAsia="Times New Roman"/>
                <w:sz w:val="22"/>
              </w:rPr>
              <w:t xml:space="preserve">+4.92</w:t>
            </w:r>
          </w:p>
        </w:tc>
        <w:tc>
          <w:tcPr/>
          <w:p>
            <w:pPr>
              <w:pStyle w:val="Compact"/>
              <w:spacing w:line="276" w:lineRule="auto" w:before="0" w:after="0"/>
              <w:jc w:val="center"/>
            </w:pPr>
            <w:r>
              <w:rPr>
                <w:rFonts w:ascii="Times New Roman" w:hAnsi="Times New Roman" w:cs="Times New Roman" w:eastAsia="Times New Roman"/>
                <w:sz w:val="22"/>
              </w:rPr>
              <w:t xml:space="preserve">+6.35</w:t>
            </w:r>
          </w:p>
        </w:tc>
        <w:tc>
          <w:tcPr/>
          <w:p>
            <w:pPr>
              <w:pStyle w:val="Compact"/>
              <w:spacing w:line="276" w:lineRule="auto" w:before="0" w:after="0"/>
              <w:jc w:val="center"/>
            </w:pPr>
            <w:r>
              <w:rPr>
                <w:rFonts w:ascii="Times New Roman" w:hAnsi="Times New Roman" w:cs="Times New Roman" w:eastAsia="Times New Roman"/>
                <w:sz w:val="22"/>
              </w:rPr>
              <w:t xml:space="preserve">+6.87</w:t>
            </w:r>
          </w:p>
        </w:tc>
        <w:tc>
          <w:tcPr/>
          <w:p>
            <w:pPr>
              <w:pStyle w:val="Compact"/>
              <w:spacing w:line="276" w:lineRule="auto" w:before="0" w:after="0"/>
              <w:jc w:val="center"/>
            </w:pPr>
            <w:r>
              <w:rPr>
                <w:rFonts w:ascii="Times New Roman" w:hAnsi="Times New Roman" w:cs="Times New Roman" w:eastAsia="Times New Roman"/>
                <w:sz w:val="22"/>
              </w:rPr>
              <w:t xml:space="preserve">+6.13</w:t>
            </w:r>
          </w:p>
        </w:tc>
        <w:tc>
          <w:tcPr/>
          <w:p>
            <w:pPr>
              <w:pStyle w:val="Compact"/>
              <w:spacing w:line="276" w:lineRule="auto" w:before="0" w:after="0"/>
              <w:jc w:val="center"/>
            </w:pPr>
            <w:r>
              <w:rPr>
                <w:rFonts w:ascii="Times New Roman" w:hAnsi="Times New Roman" w:cs="Times New Roman" w:eastAsia="Times New Roman"/>
                <w:b/>
                <w:bCs/>
                <w:sz w:val="22"/>
              </w:rPr>
              <w:t xml:space="preserve">75% (3/4)</w:t>
            </w:r>
          </w:p>
        </w:tc>
      </w:tr>
      <w:tr>
        <w:tc>
          <w:tcPr/>
          <w:p>
            <w:pPr>
              <w:pStyle w:val="Compact"/>
              <w:spacing w:line="276" w:lineRule="auto" w:before="0" w:after="0"/>
              <w:jc w:val="center"/>
            </w:pPr>
            <w:r>
              <w:rPr>
                <w:rFonts w:ascii="Times New Roman" w:hAnsi="Times New Roman" w:cs="Times New Roman" w:eastAsia="Times New Roman"/>
                <w:sz w:val="22"/>
              </w:rPr>
              <w:t xml:space="preserve">Guangzhou</w:t>
            </w:r>
          </w:p>
        </w:tc>
        <w:tc>
          <w:tcPr/>
          <w:p>
            <w:pPr>
              <w:pStyle w:val="Compact"/>
              <w:spacing w:line="276" w:lineRule="auto" w:before="0" w:after="0"/>
              <w:jc w:val="center"/>
            </w:pPr>
            <w:r>
              <w:rPr>
                <w:rFonts w:ascii="Times New Roman" w:hAnsi="Times New Roman" w:cs="Times New Roman" w:eastAsia="Times New Roman"/>
                <w:sz w:val="22"/>
              </w:rPr>
              <w:t xml:space="preserve">+1.67</w:t>
            </w:r>
          </w:p>
        </w:tc>
        <w:tc>
          <w:tcPr/>
          <w:p>
            <w:pPr>
              <w:pStyle w:val="Compact"/>
              <w:spacing w:line="276" w:lineRule="auto" w:before="0" w:after="0"/>
              <w:jc w:val="center"/>
            </w:pPr>
            <w:r>
              <w:rPr>
                <w:rFonts w:ascii="Times New Roman" w:hAnsi="Times New Roman" w:cs="Times New Roman" w:eastAsia="Times New Roman"/>
                <w:sz w:val="22"/>
              </w:rPr>
              <w:t xml:space="preserve">+1.74</w:t>
            </w:r>
          </w:p>
        </w:tc>
        <w:tc>
          <w:tcPr/>
          <w:p>
            <w:pPr>
              <w:pStyle w:val="Compact"/>
              <w:spacing w:line="276" w:lineRule="auto" w:before="0" w:after="0"/>
              <w:jc w:val="center"/>
            </w:pPr>
            <w:r>
              <w:rPr>
                <w:rFonts w:ascii="Times New Roman" w:hAnsi="Times New Roman" w:cs="Times New Roman" w:eastAsia="Times New Roman"/>
                <w:sz w:val="22"/>
              </w:rPr>
              <w:t xml:space="preserve">+3.17</w:t>
            </w:r>
          </w:p>
        </w:tc>
        <w:tc>
          <w:tcPr/>
          <w:p>
            <w:pPr>
              <w:pStyle w:val="Compact"/>
              <w:spacing w:line="276" w:lineRule="auto" w:before="0" w:after="0"/>
              <w:jc w:val="center"/>
            </w:pPr>
            <w:r>
              <w:rPr>
                <w:rFonts w:ascii="Times New Roman" w:hAnsi="Times New Roman" w:cs="Times New Roman" w:eastAsia="Times New Roman"/>
                <w:sz w:val="22"/>
              </w:rPr>
              <w:t xml:space="preserve">+2.08</w:t>
            </w:r>
          </w:p>
        </w:tc>
        <w:tc>
          <w:tcPr/>
          <w:p>
            <w:pPr>
              <w:pStyle w:val="Compact"/>
              <w:spacing w:line="276" w:lineRule="auto" w:before="0" w:after="0"/>
              <w:jc w:val="center"/>
            </w:pPr>
            <w:r>
              <w:rPr>
                <w:rFonts w:ascii="Times New Roman" w:hAnsi="Times New Roman" w:cs="Times New Roman" w:eastAsia="Times New Roman"/>
                <w:b/>
                <w:bCs/>
                <w:sz w:val="22"/>
              </w:rPr>
              <w:t xml:space="preserve">0% (0/4)</w:t>
            </w:r>
          </w:p>
        </w:tc>
      </w:tr>
    </w:tbl>
    <w:p>
      <w:pPr>
        <w:pStyle w:val="BodyText"/>
        <w:spacing w:line="480" w:lineRule="auto" w:before="0" w:after="0"/>
        <w:ind w:firstLine="0"/>
        <w:jc w:val="left"/>
      </w:pPr>
      <w:r>
        <w:rPr>
          <w:rFonts w:ascii="Times New Roman" w:hAnsi="Times New Roman" w:cs="Times New Roman" w:eastAsia="Times New Roman"/>
          <w:b/>
          <w:bCs/>
          <w:sz w:val="24"/>
        </w:rPr>
        <w:t xml:space="preserve">Three findings emerge.</w:t>
      </w:r>
    </w:p>
    <w:p>
      <w:pPr>
        <w:pStyle w:val="BodyText"/>
        <w:spacing w:line="480" w:lineRule="auto" w:before="0" w:after="0"/>
        <w:ind w:firstLine="0"/>
        <w:jc w:val="left"/>
      </w:pPr>
      <w:r>
        <w:rPr>
          <w:rFonts w:ascii="Times New Roman" w:hAnsi="Times New Roman" w:cs="Times New Roman" w:eastAsia="Times New Roman"/>
          <w:b/>
          <w:bCs/>
          <w:sz w:val="24"/>
        </w:rPr>
        <w:t xml:space="preserve">Finding 1 — Geographic mechanism strength scales with city</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compactness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12a, d). Shenzhen and Dongguan, both 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bounded, show strong geographic effects (+5 to +11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by far the largest of the three (1,715,000 valid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vs Shenzhen’s ~440,000), shows only +1.7 to +3.2 pp—</w:t>
      </w:r>
      <w:r>
        <w:rPr>
          <w:rFonts w:ascii="Times New Roman" w:hAnsi="Times New Roman" w:cs="Times New Roman" w:eastAsia="Times New Roman"/>
          <w:b/>
          <w:bCs/>
          <w:sz w:val="24"/>
        </w:rPr>
        <w:t xml:space="preserve">below</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the 5 pp threshold in every season</w:t>
      </w:r>
      <w:r>
        <w:rPr>
          <w:rFonts w:ascii="Times New Roman" w:hAnsi="Times New Roman" w:cs="Times New Roman" w:eastAsia="Times New Roman"/>
          <w:sz w:val="24"/>
        </w:rPr>
        <w:t xml:space="preserve">. The pass-rate summary panel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12d) makes this transferability gap visible at a glance: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 100%, Dongguan 75%, Guangzhou 0%. The mechanism does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generalise to a sprawling city.</w:t>
      </w:r>
    </w:p>
    <w:p>
      <w:pPr>
        <w:pStyle w:val="BodyText"/>
        <w:spacing w:line="480" w:lineRule="auto" w:before="0" w:after="0"/>
        <w:ind w:firstLine="0"/>
        <w:jc w:val="left"/>
      </w:pPr>
      <w:r>
        <w:rPr>
          <w:rFonts w:ascii="Times New Roman" w:hAnsi="Times New Roman" w:cs="Times New Roman" w:eastAsia="Times New Roman"/>
          <w:b/>
          <w:bCs/>
          <w:sz w:val="24"/>
        </w:rPr>
        <w:t xml:space="preserve">Finding 2 — Within-class baseline Gini is much higher in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Guangzhou and Dongguan</w:t>
      </w:r>
      <w:r>
        <w:rPr>
          <w:rFonts w:ascii="Times New Roman" w:hAnsi="Times New Roman" w:cs="Times New Roman" w:eastAsia="Times New Roman"/>
          <w:sz w:val="24"/>
        </w:rPr>
        <w:t xml:space="preserve">. The within-LCZ Gini share starts 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86 % in Shenzhen but reaches 96–97 % in both Guangzhou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This means that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every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(form, 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geography) absorbs proportionally less of the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in these cities. Geography happens to be enough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but not in Guangzhou.</w:t>
      </w:r>
    </w:p>
    <w:p>
      <w:pPr>
        <w:pStyle w:val="BodyText"/>
        <w:spacing w:line="480" w:lineRule="auto" w:before="0" w:after="0"/>
        <w:ind w:firstLine="0"/>
        <w:jc w:val="left"/>
      </w:pPr>
      <w:r>
        <w:rPr>
          <w:rFonts w:ascii="Times New Roman" w:hAnsi="Times New Roman" w:cs="Times New Roman" w:eastAsia="Times New Roman"/>
          <w:b/>
          <w:bCs/>
          <w:sz w:val="24"/>
        </w:rPr>
        <w:t xml:space="preserve">Finding 3 — Mountain still dominates Coast in both extra</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12b), consistent with Shenzhen. Dongguan: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 +6.06 pp vs Coast +2.66 pp (2.3× ratio). Guangzhou: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+1.63 vs Coast +1.99 (similar magnitude, both weak).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signal is therefore a robust feature where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effects exist at all, but the absolute magnitude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depends on how compact the city is. Notably, the seasonal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cycle (Fig. 12c) shows that the three cities have nearly identical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temperatures, so the cross-city differences in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 are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driven by ambient-temperature differences.</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w:t>
      </w:r>
      <w:r>
        <w:rPr>
          <w:rFonts w:ascii="Times New Roman" w:hAnsi="Times New Roman" w:cs="Times New Roman" w:eastAsia="Times New Roman"/>
          <w:sz w:val="24"/>
        </w:rPr>
        <w:t xml:space="preserve">: The geographic dominance over morphology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property of</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GBA cities, not of all cities. In sprawling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like Guangzhou (1,881 km² of municipal area),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is even more dominant (&gt;96 %), but the mechanisms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explain it lie elsewhere—possibly in the urban heat island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network of the central city, in differential anthropogenic 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release, or in finer-scale (sub-100 m) factors not captured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metrics.</w:t>
      </w:r>
    </w:p>
    <w:p>
      <w:pPr>
        <w:pStyle w:val="BodyText"/>
        <w:spacing w:line="480" w:lineRule="auto" w:before="0" w:after="0"/>
        <w:ind w:firstLine="0"/>
        <w:jc w:val="left"/>
      </w:pPr>
      <w:r>
        <w:rPr>
          <w:rFonts w:ascii="Times New Roman" w:hAnsi="Times New Roman" w:cs="Times New Roman" w:eastAsia="Times New Roman"/>
          <w:sz w:val="24"/>
        </w:rPr>
        <w:t xml:space="preserve">This is an important refinement of the Phase 6–7 conclusion: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is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necessary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refinement of LCZ 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analysis (it works where form does not), but it is not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sufficient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explanation in all GBA cities. Future work should test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in additional compact-vs-sprawling pairs (e.g., Hong Kong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vs Beijing, Singapore vs Tokyo).</w:t>
      </w:r>
    </w:p>
    <w:bookmarkEnd w:id="40"/>
    <w:bookmarkStart w:id="41" w:name="X0b6c8f5fd1ccdcecd9f4899a925e5d14ea44b25"/>
    <w:p>
      <w:pPr>
        <w:pStyle w:val="Heading2"/>
        <w:spacing w:line="480" w:lineRule="auto" w:before="360" w:after="180"/>
        <w:ind w:firstLine="0"/>
        <w:jc w:val="left"/>
      </w:pPr>
      <w:r>
        <w:rPr>
          <w:rFonts w:ascii="Times New Roman" w:hAnsi="Times New Roman" w:cs="Times New Roman" w:eastAsia="Times New Roman"/>
          <w:b/>
          <w:sz w:val="24"/>
        </w:rPr>
        <w:t xml:space="preserve">3.12 Direct test: hybrid morphology + topology subcategorization fails</w:t>
      </w:r>
    </w:p>
    <w:p>
      <w:pPr>
        <w:pStyle w:val="FirstParagraph"/>
        <w:spacing w:line="480" w:lineRule="auto" w:before="0" w:after="0"/>
        <w:ind w:firstLine="0"/>
        <w:jc w:val="left"/>
      </w:pPr>
      <w:r>
        <w:rPr>
          <w:rFonts w:ascii="Times New Roman" w:hAnsi="Times New Roman" w:cs="Times New Roman" w:eastAsia="Times New Roman"/>
          <w:sz w:val="24"/>
        </w:rPr>
        <w:t xml:space="preserve">To rigorously test whether topology can complement morphology, we ran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controlled experiment with three k-means clustering schemes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(Methods §2.10) and compared the resulting Gini decompositions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w:t>
      </w:r>
    </w:p>
    <w:tbl>
      <w:tblPr>
        <w:tblStyle w:val="Table"/>
        <w:tblW w:type="pct" w:w="5000"/>
        <w:tblLayout w:type="fixed"/>
        <w:tblLook w:firstRow="1" w:lastRow="0" w:firstColumn="0" w:lastColumn="0" w:noHBand="0" w:noVBand="0" w:val="0020"/>
      </w:tblPr>
      <w:tblGrid>
        <w:gridCol w:w="833"/>
        <w:gridCol w:w="1042"/>
        <w:gridCol w:w="1250"/>
        <w:gridCol w:w="1563"/>
        <w:gridCol w:w="323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w:t>
            </w:r>
          </w:p>
        </w:tc>
      </w:tr>
      <w:tr>
        <w:tc>
          <w:tcPr/>
          <w:p>
            <w:pPr>
              <w:pStyle w:val="Compact"/>
              <w:spacing w:line="276" w:lineRule="auto" w:before="0" w:after="0"/>
              <w:jc w:val="left"/>
            </w:pPr>
            <w:r>
              <w:rPr>
                <w:rFonts w:ascii="Times New Roman" w:hAnsi="Times New Roman" w:cs="Times New Roman" w:eastAsia="Times New Roman"/>
                <w:sz w:val="22"/>
              </w:rPr>
              <w:t xml:space="preserve">A: UMPs only (baseline)</w:t>
            </w:r>
          </w:p>
        </w:tc>
        <w:tc>
          <w:tcPr/>
          <w:p>
            <w:pPr>
              <w:pStyle w:val="Compact"/>
              <w:spacing w:line="276" w:lineRule="auto" w:before="0" w:after="0"/>
              <w:jc w:val="left"/>
            </w:pPr>
            <w:r>
              <w:rPr>
                <w:rFonts w:ascii="Times New Roman" w:hAnsi="Times New Roman" w:cs="Times New Roman" w:eastAsia="Times New Roman"/>
                <w:sz w:val="22"/>
              </w:rPr>
              <w:t xml:space="preserve">BSF, MBH, SBH, MBW, SVF, PSF, GFA, BV</w:t>
            </w:r>
          </w:p>
        </w:tc>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b/>
                <w:bCs/>
                <w:sz w:val="22"/>
              </w:rPr>
              <w:t xml:space="preserve">+1.02 pp</w:t>
            </w:r>
          </w:p>
        </w:tc>
      </w:tr>
      <w:tr>
        <w:tc>
          <w:tcPr/>
          <w:p>
            <w:pPr>
              <w:pStyle w:val="Compact"/>
              <w:spacing w:line="276" w:lineRule="auto" w:before="0" w:after="0"/>
              <w:jc w:val="left"/>
            </w:pPr>
            <w:r>
              <w:rPr>
                <w:rFonts w:ascii="Times New Roman" w:hAnsi="Times New Roman" w:cs="Times New Roman" w:eastAsia="Times New Roman"/>
                <w:sz w:val="22"/>
              </w:rPr>
              <w:t xml:space="preserve">B: Topology only</w:t>
            </w:r>
          </w:p>
        </w:tc>
        <w:tc>
          <w:tcPr/>
          <w:p>
            <w:pPr>
              <w:pStyle w:val="Compact"/>
              <w:spacing w:line="276" w:lineRule="auto" w:before="0" w:after="0"/>
              <w:jc w:val="left"/>
            </w:pPr>
            <w:r>
              <w:rPr>
                <w:rFonts w:ascii="Times New Roman" w:hAnsi="Times New Roman" w:cs="Times New Roman" w:eastAsia="Times New Roman"/>
                <w:sz w:val="22"/>
              </w:rPr>
              <w:t xml:space="preserve">UTCI std, gradient, hotspot, range, smoothness</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 pp</w:t>
            </w:r>
          </w:p>
        </w:tc>
      </w:tr>
      <w:tr>
        <w:tc>
          <w:tcPr/>
          <w:p>
            <w:pPr>
              <w:pStyle w:val="Compact"/>
              <w:spacing w:line="276" w:lineRule="auto" w:before="0" w:after="0"/>
              <w:jc w:val="left"/>
            </w:pPr>
            <w:r>
              <w:rPr>
                <w:rFonts w:ascii="Times New Roman" w:hAnsi="Times New Roman" w:cs="Times New Roman" w:eastAsia="Times New Roman"/>
                <w:sz w:val="22"/>
              </w:rPr>
              <w:t xml:space="preserve">C: UMPs + Topology (hybrid)</w:t>
            </w:r>
          </w:p>
        </w:tc>
        <w:tc>
          <w:tcPr/>
          <w:p>
            <w:pPr>
              <w:pStyle w:val="Compact"/>
              <w:spacing w:line="276" w:lineRule="auto" w:before="0" w:after="0"/>
              <w:jc w:val="left"/>
            </w:pPr>
            <w:r>
              <w:rPr>
                <w:rFonts w:ascii="Times New Roman" w:hAnsi="Times New Roman" w:cs="Times New Roman" w:eastAsia="Times New Roman"/>
                <w:sz w:val="22"/>
              </w:rPr>
              <w:t xml:space="preserve">A ∪ B</w:t>
            </w:r>
          </w:p>
        </w:tc>
        <w:tc>
          <w:tcPr/>
          <w:p>
            <w:pPr>
              <w:pStyle w:val="Compact"/>
              <w:spacing w:line="276" w:lineRule="auto" w:before="0" w:after="0"/>
              <w:jc w:val="center"/>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b/>
                <w:bCs/>
                <w:sz w:val="22"/>
              </w:rPr>
              <w:t xml:space="preserve">+0.88 pp</w:t>
            </w:r>
          </w:p>
        </w:tc>
      </w:tr>
    </w:tbl>
    <w:p>
      <w:pPr>
        <w:pStyle w:val="BodyText"/>
        <w:spacing w:line="480" w:lineRule="auto" w:before="0" w:after="0"/>
        <w:ind w:firstLine="0"/>
        <w:jc w:val="left"/>
      </w:pPr>
      <w:r>
        <w:rPr>
          <w:rFonts w:ascii="Times New Roman" w:hAnsi="Times New Roman" w:cs="Times New Roman" w:eastAsia="Times New Roman"/>
          <w:sz w:val="24"/>
        </w:rPr>
        <w:t xml:space="preserve">The result is striking. Adding five local topological features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eight UMPs (Scheme C) does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outperform UMPs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A). In fact, the hybrid scheme yields a slightly smaller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(0.88 vs 1.02 pp; Fig. 7b), even though it has more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available to work with. Topology used in isolation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B) performs even worse (0.21 pp). All three schemes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near-identical within-group Gini share of 85.0–85.9% (Fig. 7a),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only small complementary changes in the between-group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7e), and the per-LCZ Silhouette quality (Fig. 7d) confirms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the lack of Gini reduction is not driven by poor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subcategory counts produced by each scheme (39, 19, 32;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7c) are within the normal range, ruling out granularity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artefacts.</w:t>
      </w:r>
    </w:p>
    <w:p>
      <w:pPr>
        <w:pStyle w:val="BodyText"/>
        <w:spacing w:line="480" w:lineRule="auto" w:before="0" w:after="0"/>
        <w:ind w:firstLine="0"/>
        <w:jc w:val="left"/>
      </w:pPr>
      <w:r>
        <w:rPr>
          <w:rFonts w:ascii="Times New Roman" w:hAnsi="Times New Roman" w:cs="Times New Roman" w:eastAsia="Times New Roman"/>
          <w:sz w:val="24"/>
        </w:rPr>
        <w:t xml:space="preserve">This refutes the hypothesis we proposed in §3.6 that 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augmented clustering would close the within-class explanation gap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greater than 5 pp. The within-class Gini dominance is therefore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feature of the data, not an artifact of which spatial features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happen to pick. Two independent geometric lenses—building-form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and local UTCI topology—both fail to absorb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at the 100-m scale.</w:t>
      </w:r>
    </w:p>
    <w:p>
      <w:pPr>
        <w:pStyle w:val="BodyText"/>
        <w:spacing w:line="480" w:lineRule="auto" w:before="0" w:after="0"/>
        <w:ind w:firstLine="0"/>
        <w:jc w:val="left"/>
      </w:pPr>
      <w:r>
        <w:rPr>
          <w:rFonts w:ascii="Times New Roman" w:hAnsi="Times New Roman" w:cs="Times New Roman" w:eastAsia="Times New Roman"/>
          <w:sz w:val="24"/>
        </w:rPr>
        <w:t xml:space="preserve">The implication is unambiguous: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within-class thermal inequality is</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not primarily driven by spatial geometry</w:t>
      </w:r>
      <w:r>
        <w:rPr>
          <w:rFonts w:ascii="Times New Roman" w:hAnsi="Times New Roman" w:cs="Times New Roman" w:eastAsia="Times New Roman"/>
          <w:sz w:val="24"/>
        </w:rPr>
        <w:t xml:space="preserve">. Adaptation research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should now move beyond morphology and topology to investigate non-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drivers, such as time-of-day patterns, building materials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albedo, anthropogenic heat from cooling systems, and human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behaviour.</w:t>
      </w:r>
    </w:p>
    <w:bookmarkEnd w:id="41"/>
    <w:bookmarkStart w:id="42" w:name="X13991b99d0110933686f3160e52d0e6feca539b"/>
    <w:p>
      <w:pPr>
        <w:pStyle w:val="Heading2"/>
        <w:spacing w:line="480" w:lineRule="auto" w:before="360" w:after="180"/>
        <w:ind w:firstLine="0"/>
        <w:jc w:val="left"/>
      </w:pPr>
      <w:r>
        <w:rPr>
          <w:rFonts w:ascii="Times New Roman" w:hAnsi="Times New Roman" w:cs="Times New Roman" w:eastAsia="Times New Roman"/>
          <w:b/>
          <w:sz w:val="24"/>
        </w:rPr>
        <w:t xml:space="preserve">3.13 Hidden inequality varies across LCZ classes</w:t>
      </w:r>
    </w:p>
    <w:p>
      <w:pPr>
        <w:pStyle w:val="FirstParagraph"/>
        <w:spacing w:line="480" w:lineRule="auto" w:before="0" w:after="0"/>
        <w:ind w:firstLine="0"/>
        <w:jc w:val="left"/>
      </w:pPr>
      <w:r>
        <w:rPr>
          <w:rFonts w:ascii="Times New Roman" w:hAnsi="Times New Roman" w:cs="Times New Roman" w:eastAsia="Times New Roman"/>
          <w:sz w:val="24"/>
        </w:rPr>
        <w:t xml:space="preserve">The 1.0 percentage point average masks meaningful class-level structure (Fig. 5e). The HDH spread between most- and least-exposed subcategories within each class ranged from 14 to 481:</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3 (compact low-rise): Δ = 481 (largest)</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10 (heavy industry): Δ = 348</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2 (compact mid-rise): Δ = 270</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8 (large low-rise): Δ = 199</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5 (open mid-rise): Δ = 153</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4 (open high-rise): Δ = 136</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6 (open low-rise): Δ = 92</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1 (compact high-rise): Δ = 74</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9 (sparsely built): Δ = 14 (smallest)</w:t>
      </w:r>
    </w:p>
    <w:p>
      <w:pPr>
        <w:pStyle w:val="FirstParagraph"/>
        <w:spacing w:line="480" w:lineRule="auto" w:before="0" w:after="0"/>
        <w:ind w:firstLine="0"/>
        <w:jc w:val="left"/>
      </w:pPr>
      <w:r>
        <w:rPr>
          <w:rFonts w:ascii="Times New Roman" w:hAnsi="Times New Roman" w:cs="Times New Roman" w:eastAsia="Times New Roman"/>
          <w:sz w:val="24"/>
        </w:rPr>
        <w:t xml:space="preserve">LCZ 3 and LCZ 10 carry 5–7 times the within-class HDH spread of LCZ 1. This redirects priority. Adaptation work should focus on LCZ 3 (older and informal housing) and LCZ 10 (mixed industrial-residential), not on the visible high-rise CBD.</w:t>
      </w:r>
    </w:p>
    <w:p>
      <w:pPr>
        <w:pStyle w:val="BodyText"/>
        <w:spacing w:line="480" w:lineRule="auto" w:before="0" w:after="0"/>
        <w:ind w:firstLine="0"/>
        <w:jc w:val="left"/>
      </w:pPr>
      <w:r>
        <w:rPr>
          <w:rFonts w:ascii="Times New Roman" w:hAnsi="Times New Roman" w:cs="Times New Roman" w:eastAsia="Times New Roman"/>
          <w:sz w:val="24"/>
        </w:rPr>
        <w:t xml:space="preserve">The most-exposed subcategories were small and dense (Table 4). LCZ 1E—an extreme dense high-rise canyon (BSF ≈ 1.0, MBH = 286 m)—had only 644 residents but the highest HDH (4,466 °C·h). LCZ 1C, a compact mid-rise core, covered 115,680 residents at HDH = 4,445 °C·h.</w:t>
      </w:r>
    </w:p>
    <w:bookmarkEnd w:id="42"/>
    <w:bookmarkEnd w:id="43"/>
    <w:bookmarkStart w:id="54" w:name="discussion"/>
    <w:p>
      <w:pPr>
        <w:pStyle w:val="Heading1"/>
        <w:spacing w:line="480" w:lineRule="auto" w:before="480" w:after="240"/>
        <w:ind w:firstLine="0"/>
        <w:jc w:val="left"/>
      </w:pPr>
      <w:r>
        <w:rPr>
          <w:rFonts w:ascii="Times New Roman" w:hAnsi="Times New Roman" w:cs="Times New Roman" w:eastAsia="Times New Roman"/>
          <w:b/>
          <w:sz w:val="24"/>
        </w:rPr>
        <w:t xml:space="preserve">4. Discussion</w:t>
      </w:r>
    </w:p>
    <w:bookmarkStart w:id="44" w:name="what-the-negative-result-means"/>
    <w:p>
      <w:pPr>
        <w:pStyle w:val="Heading2"/>
        <w:spacing w:line="480" w:lineRule="auto" w:before="360" w:after="180"/>
        <w:ind w:firstLine="0"/>
        <w:jc w:val="left"/>
      </w:pPr>
      <w:r>
        <w:rPr>
          <w:rFonts w:ascii="Times New Roman" w:hAnsi="Times New Roman" w:cs="Times New Roman" w:eastAsia="Times New Roman"/>
          <w:b/>
          <w:sz w:val="24"/>
        </w:rPr>
        <w:t xml:space="preserve">4.1 What the negative result means</w:t>
      </w:r>
    </w:p>
    <w:p>
      <w:pPr>
        <w:pStyle w:val="FirstParagraph"/>
        <w:spacing w:line="480" w:lineRule="auto" w:before="0" w:after="0"/>
        <w:ind w:firstLine="0"/>
        <w:jc w:val="left"/>
      </w:pPr>
      <w:r>
        <w:rPr>
          <w:rFonts w:ascii="Times New Roman" w:hAnsi="Times New Roman" w:cs="Times New Roman" w:eastAsia="Times New Roman"/>
          <w:sz w:val="24"/>
        </w:rPr>
        <w:t xml:space="preserve">Two findings emerge from our analysis of 14.67 million Shenzhen residents over July 2020. First, population-weighted HDH Gini reaches 0.057, with 83.5% of inequality lying within LCZ classes. Second, refining 9 classes into 39 morphology-driven subcategories cuts the within-class share by just 1.0 percentage point. Morphology alone is not the main driver of within-class heat exposure inequality. The magnitude of within-class inequality is comparable to the Gini values reported in multi-city US analyses (Hsu et al., 2021; Chakraborty et al., 2019), and operates on populations whose exposure has well-established mortality consequences (Gasparrini et al., 2015; Romanello et al., 2022).</w:t>
      </w:r>
    </w:p>
    <w:p>
      <w:pPr>
        <w:pStyle w:val="BodyText"/>
        <w:spacing w:line="480" w:lineRule="auto" w:before="0" w:after="0"/>
        <w:ind w:firstLine="0"/>
        <w:jc w:val="left"/>
      </w:pPr>
      <w:r>
        <w:rPr>
          <w:rFonts w:ascii="Times New Roman" w:hAnsi="Times New Roman" w:cs="Times New Roman" w:eastAsia="Times New Roman"/>
          <w:sz w:val="24"/>
        </w:rPr>
        <w:t xml:space="preserve">This pushes against an assumption that runs through current LCZ literature (Huang et al., 2026; Liu et al., 2026): that finer morphological partitioning will close the within-class gap. Our results suggest it will not, at least at the 100-m scale and with current data sources.</w:t>
      </w:r>
    </w:p>
    <w:bookmarkEnd w:id="44"/>
    <w:bookmarkStart w:id="45" w:name="why-morphology-falls-short"/>
    <w:p>
      <w:pPr>
        <w:pStyle w:val="Heading2"/>
        <w:spacing w:line="480" w:lineRule="auto" w:before="360" w:after="180"/>
        <w:ind w:firstLine="0"/>
        <w:jc w:val="left"/>
      </w:pPr>
      <w:r>
        <w:rPr>
          <w:rFonts w:ascii="Times New Roman" w:hAnsi="Times New Roman" w:cs="Times New Roman" w:eastAsia="Times New Roman"/>
          <w:b/>
          <w:sz w:val="24"/>
        </w:rPr>
        <w:t xml:space="preserve">4.2 Why morphology falls short</w:t>
      </w:r>
    </w:p>
    <w:p>
      <w:pPr>
        <w:pStyle w:val="FirstParagraph"/>
        <w:spacing w:line="480" w:lineRule="auto" w:before="0" w:after="0"/>
        <w:ind w:firstLine="0"/>
        <w:jc w:val="left"/>
      </w:pPr>
      <w:r>
        <w:rPr>
          <w:rFonts w:ascii="Times New Roman" w:hAnsi="Times New Roman" w:cs="Times New Roman" w:eastAsia="Times New Roman"/>
          <w:sz w:val="24"/>
        </w:rPr>
        <w:t xml:space="preserve">Three reasons can explain the small effect.</w:t>
      </w:r>
    </w:p>
    <w:p>
      <w:pPr>
        <w:pStyle w:val="BodyText"/>
        <w:spacing w:line="480" w:lineRule="auto" w:before="0" w:after="0"/>
        <w:ind w:firstLine="0"/>
        <w:jc w:val="left"/>
      </w:pPr>
      <w:r>
        <w:rPr>
          <w:rFonts w:ascii="Times New Roman" w:hAnsi="Times New Roman" w:cs="Times New Roman" w:eastAsia="Times New Roman"/>
          <w:sz w:val="24"/>
        </w:rPr>
        <w:t xml:space="preserve">First, our 25-km ERA5 reanalysis sets a ceiling. Within each 25-km parent cell, the day-to-day ERA5 temperature swing is several Kelvin, which dwarfs the 2-K LCZ-class spread and the smaller within-class differences from morphology. A neural-operator downscaling that learns 100-m UTCI directly from observations and morphology, rather than projecting from a parent cell, would lift this ceiling. We plan this for the next phase of WUDAPT-FUSE.</w:t>
      </w:r>
    </w:p>
    <w:p>
      <w:pPr>
        <w:pStyle w:val="BodyText"/>
        <w:spacing w:line="480" w:lineRule="auto" w:before="0" w:after="0"/>
        <w:ind w:firstLine="0"/>
        <w:jc w:val="left"/>
      </w:pPr>
      <w:r>
        <w:rPr>
          <w:rFonts w:ascii="Times New Roman" w:hAnsi="Times New Roman" w:cs="Times New Roman" w:eastAsia="Times New Roman"/>
          <w:sz w:val="24"/>
        </w:rPr>
        <w:t xml:space="preserve">Second, population packs into a few similar LCZs. Five built-up classes hold 88% of the HDH burden, and many of their subcategories share similar mean exposure. Subcategorization spreads the exposure pie among more slices, but the slices are not very different.</w:t>
      </w:r>
    </w:p>
    <w:p>
      <w:pPr>
        <w:pStyle w:val="BodyText"/>
        <w:spacing w:line="480" w:lineRule="auto" w:before="0" w:after="0"/>
        <w:ind w:firstLine="0"/>
        <w:jc w:val="left"/>
      </w:pPr>
      <w:r>
        <w:rPr>
          <w:rFonts w:ascii="Times New Roman" w:hAnsi="Times New Roman" w:cs="Times New Roman" w:eastAsia="Times New Roman"/>
          <w:sz w:val="24"/>
        </w:rPr>
        <w:t xml:space="preserve">Third, building form is one of many drivers. Local breeze patterns, distance to water, urban canyon orientation, and anthropogenic heat from cars, factories, and air conditioners shape thermal exposure. None of these can be inferred from building footprints alone.</w:t>
      </w:r>
    </w:p>
    <w:bookmarkEnd w:id="45"/>
    <w:bookmarkStart w:id="46" w:name="where-to-focus-adaptation"/>
    <w:p>
      <w:pPr>
        <w:pStyle w:val="Heading2"/>
        <w:spacing w:line="480" w:lineRule="auto" w:before="360" w:after="180"/>
        <w:ind w:firstLine="0"/>
        <w:jc w:val="left"/>
      </w:pPr>
      <w:r>
        <w:rPr>
          <w:rFonts w:ascii="Times New Roman" w:hAnsi="Times New Roman" w:cs="Times New Roman" w:eastAsia="Times New Roman"/>
          <w:b/>
          <w:sz w:val="24"/>
        </w:rPr>
        <w:t xml:space="preserve">4.3 Where to focus adaptation</w:t>
      </w:r>
    </w:p>
    <w:p>
      <w:pPr>
        <w:pStyle w:val="FirstParagraph"/>
        <w:spacing w:line="480" w:lineRule="auto" w:before="0" w:after="0"/>
        <w:ind w:firstLine="0"/>
        <w:jc w:val="left"/>
      </w:pPr>
      <w:r>
        <w:rPr>
          <w:rFonts w:ascii="Times New Roman" w:hAnsi="Times New Roman" w:cs="Times New Roman" w:eastAsia="Times New Roman"/>
          <w:sz w:val="24"/>
        </w:rPr>
        <w:t xml:space="preserve">Our class-level breakdown changes the priority list. LCZ 3 (compact low-rise) and LCZ 10 (heavy industry) carry the largest hidden inequality (HDH spread 481 and 348). These zones often house older buildings, informal settlements, and mixed industrial-residential land use. Workers and lower-income families live there, often with limited cooling access—a pattern that has been documented in multiple US cities, where lower-income neighbourhoods are systematically more exposed to urban heat (Mitchell &amp; Chakraborty, 2015; Chakraborty et al., 2019). Compact urban forms have also been shown to differ from sprawling forms in their vulnerability to extreme-heat events (Stone et al., 2010). Greening and reflective-surface investment in LCZ 3 and 10 will likely yield more per-person benefit than further upgrades to high-visibility CBD zones.</w:t>
      </w:r>
    </w:p>
    <w:bookmarkEnd w:id="46"/>
    <w:bookmarkStart w:id="47" w:name="limitations"/>
    <w:p>
      <w:pPr>
        <w:pStyle w:val="Heading2"/>
        <w:spacing w:line="480" w:lineRule="auto" w:before="360" w:after="180"/>
        <w:ind w:firstLine="0"/>
        <w:jc w:val="left"/>
      </w:pPr>
      <w:r>
        <w:rPr>
          <w:rFonts w:ascii="Times New Roman" w:hAnsi="Times New Roman" w:cs="Times New Roman" w:eastAsia="Times New Roman"/>
          <w:b/>
          <w:sz w:val="24"/>
        </w:rPr>
        <w:t xml:space="preserve">4.4 Limitations</w:t>
      </w:r>
    </w:p>
    <w:p>
      <w:pPr>
        <w:pStyle w:val="FirstParagraph"/>
        <w:spacing w:line="480" w:lineRule="auto" w:before="0" w:after="0"/>
        <w:ind w:firstLine="0"/>
        <w:jc w:val="left"/>
      </w:pPr>
      <w:r>
        <w:rPr>
          <w:rFonts w:ascii="Times New Roman" w:hAnsi="Times New Roman" w:cs="Times New Roman" w:eastAsia="Times New Roman"/>
          <w:sz w:val="24"/>
        </w:rPr>
        <w:t xml:space="preserve">Six limitations apply.</w:t>
      </w:r>
    </w:p>
    <w:p>
      <w:pPr>
        <w:pStyle w:val="BodyText"/>
        <w:spacing w:line="480" w:lineRule="auto" w:before="0" w:after="0"/>
        <w:ind w:firstLine="0"/>
        <w:jc w:val="left"/>
      </w:pPr>
      <w:r>
        <w:rPr>
          <w:rFonts w:ascii="Times New Roman" w:hAnsi="Times New Roman" w:cs="Times New Roman" w:eastAsia="Times New Roman"/>
          <w:sz w:val="24"/>
        </w:rPr>
        <w:t xml:space="preserve">First, ERA5 resolution caps the spatial detail any synthesis method can recover at 100 m. The 250× resolution gap between the 25-km ERA5 forcing and the 100-m target means the deviation-injection method captures inter-class anomalies but not within-cell sub-LCZ heterogeneity from sea-breeze advection or unresolved topography. The validation in Section 2.3.1 (RMSE 1.11 K against the Shenzhen Bao’an ISD station) bounds the absolute synthesis error but applies most reliably to the LCZ classes near the airport (mixed LCZ 8/5); accuracy in dense LCZ 1 zones is likely 1.5–2.0 K (Huang et al., 2026).</w:t>
      </w:r>
    </w:p>
    <w:p>
      <w:pPr>
        <w:pStyle w:val="BodyText"/>
        <w:spacing w:line="480" w:lineRule="auto" w:before="0" w:after="0"/>
        <w:ind w:firstLine="0"/>
        <w:jc w:val="left"/>
      </w:pPr>
      <w:r>
        <w:rPr>
          <w:rFonts w:ascii="Times New Roman" w:hAnsi="Times New Roman" w:cs="Times New Roman" w:eastAsia="Times New Roman"/>
          <w:sz w:val="24"/>
        </w:rPr>
        <w:t xml:space="preserve">Second, broader cross-station ground-truth validation is restricted by data availability — only one international ISD station (Shenzhen Bao’an) lies within the synthesized 100-m Shenzhen domain. Larger-N validation against the Shenzhen Meteorological Bureau station network and across the Greater Bay Area is the focus of our planned next phase (Section 4.10).</w:t>
      </w:r>
    </w:p>
    <w:p>
      <w:pPr>
        <w:pStyle w:val="BodyText"/>
        <w:spacing w:line="480" w:lineRule="auto" w:before="0" w:after="0"/>
        <w:ind w:firstLine="0"/>
        <w:jc w:val="left"/>
      </w:pPr>
      <w:r>
        <w:rPr>
          <w:rFonts w:ascii="Times New Roman" w:hAnsi="Times New Roman" w:cs="Times New Roman" w:eastAsia="Times New Roman"/>
          <w:sz w:val="24"/>
        </w:rPr>
        <w:t xml:space="preserve">Third, OSM has incomplete coverage. About 71% of buildings lack height information and we filled missing values with the median (9 m). OSM also under-samples informal buildings, which are common in LCZ 3.</w:t>
      </w:r>
    </w:p>
    <w:p>
      <w:pPr>
        <w:pStyle w:val="BodyText"/>
        <w:spacing w:line="480" w:lineRule="auto" w:before="0" w:after="0"/>
        <w:ind w:firstLine="0"/>
        <w:jc w:val="left"/>
      </w:pPr>
      <w:r>
        <w:rPr>
          <w:rFonts w:ascii="Times New Roman" w:hAnsi="Times New Roman" w:cs="Times New Roman" w:eastAsia="Times New Roman"/>
          <w:sz w:val="24"/>
        </w:rPr>
        <w:t xml:space="preserve">Fourth, the 100-m grid inherits classification errors from the Demuzere et al. (2022) LCZ map; the authors acknowledge a per-pixel uncertainty especially for natural classes (LCZ 11–17), which propagates into our coast / mountain distance metrics.</w:t>
      </w:r>
    </w:p>
    <w:p>
      <w:pPr>
        <w:pStyle w:val="BodyText"/>
        <w:spacing w:line="480" w:lineRule="auto" w:before="0" w:after="0"/>
        <w:ind w:firstLine="0"/>
        <w:jc w:val="left"/>
      </w:pPr>
      <w:r>
        <w:rPr>
          <w:rFonts w:ascii="Times New Roman" w:hAnsi="Times New Roman" w:cs="Times New Roman" w:eastAsia="Times New Roman"/>
          <w:sz w:val="24"/>
        </w:rPr>
        <w:t xml:space="preserve">Fifth, our cross-city analysis covers three GBA cities and four seasons of one year (2020). Year-to-year variability and inter-decadal trends cannot be diagnosed from this sample,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‘compactness moderates the geographic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interpretation in Section 4.8 is preliminary at N = 3.</w:t>
      </w:r>
    </w:p>
    <w:p>
      <w:pPr>
        <w:pStyle w:val="BodyText"/>
        <w:spacing w:line="480" w:lineRule="auto" w:before="0" w:after="0"/>
        <w:ind w:firstLine="0"/>
        <w:jc w:val="left"/>
      </w:pPr>
      <w:r>
        <w:rPr>
          <w:rFonts w:ascii="Times New Roman" w:hAnsi="Times New Roman" w:cs="Times New Roman" w:eastAsia="Times New Roman"/>
          <w:sz w:val="24"/>
        </w:rPr>
        <w:t xml:space="preserve">Sixth, WorldPop estimates nighttime residential population. Daytime exposure for commuters and outdoor workers may differ; future work should integrate dynamic population data.</w:t>
      </w:r>
    </w:p>
    <w:bookmarkEnd w:id="47"/>
    <w:bookmarkStart w:id="48" w:name="why-geographic-position-dominates"/>
    <w:p>
      <w:pPr>
        <w:pStyle w:val="Heading2"/>
        <w:spacing w:line="480" w:lineRule="auto" w:before="360" w:after="180"/>
        <w:ind w:firstLine="0"/>
        <w:jc w:val="left"/>
      </w:pPr>
      <w:r>
        <w:rPr>
          <w:rFonts w:ascii="Times New Roman" w:hAnsi="Times New Roman" w:cs="Times New Roman" w:eastAsia="Times New Roman"/>
          <w:b/>
          <w:sz w:val="24"/>
        </w:rPr>
        <w:t xml:space="preserve">4.5 Why geographic position dominates</w:t>
      </w:r>
    </w:p>
    <w:p>
      <w:pPr>
        <w:pStyle w:val="FirstParagraph"/>
        <w:spacing w:line="480" w:lineRule="auto" w:before="0" w:after="0"/>
        <w:ind w:firstLine="0"/>
        <w:jc w:val="left"/>
      </w:pPr>
      <w:r>
        <w:rPr>
          <w:rFonts w:ascii="Times New Roman" w:hAnsi="Times New Roman" w:cs="Times New Roman" w:eastAsia="Times New Roman"/>
          <w:sz w:val="24"/>
        </w:rPr>
        <w:t xml:space="preserve">Phase 6.5 (Section 3.9) decomposed the geography breakthrough into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 physical components and revealed an asymmetry: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carries roughly three times the Gini reduction of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(+9.24 vs +3.50 pp). Three reasons explain why.</w:t>
      </w:r>
    </w:p>
    <w:p>
      <w:pPr>
        <w:pStyle w:val="BodyText"/>
        <w:spacing w:line="480" w:lineRule="auto" w:before="0" w:after="0"/>
        <w:ind w:firstLine="0"/>
        <w:jc w:val="left"/>
      </w:pPr>
      <w:r>
        <w:rPr>
          <w:rFonts w:ascii="Times New Roman" w:hAnsi="Times New Roman" w:cs="Times New Roman" w:eastAsia="Times New Roman"/>
          <w:b/>
          <w:bCs/>
          <w:sz w:val="24"/>
        </w:rPr>
        <w:t xml:space="preserve">First, geometry of the city</w:t>
      </w:r>
      <w:r>
        <w:rPr>
          <w:rFonts w:ascii="Times New Roman" w:hAnsi="Times New Roman" w:cs="Times New Roman" w:eastAsia="Times New Roman"/>
          <w:sz w:val="24"/>
        </w:rPr>
        <w:t xml:space="preserve">. Shenzhen has a clean north-south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 defined by a forested mountain belt in the north and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fragmented coastline in the south and east. The mountain front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single contiguous feature, so distance to the mountain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high-quality discriminator. The coastline, by contrast, is broken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into many bays and inlets, plus internal reservoirs all classified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LCZ 17 (water). Most urban cells are within 1 km of one water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patch or another, compressing the coast-distance variable into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narrow range and weakening its k-means split power.</w:t>
      </w:r>
    </w:p>
    <w:p>
      <w:pPr>
        <w:pStyle w:val="BodyText"/>
        <w:spacing w:line="480" w:lineRule="auto" w:before="0" w:after="0"/>
        <w:ind w:firstLine="0"/>
        <w:jc w:val="left"/>
      </w:pPr>
      <w:r>
        <w:rPr>
          <w:rFonts w:ascii="Times New Roman" w:hAnsi="Times New Roman" w:cs="Times New Roman" w:eastAsia="Times New Roman"/>
          <w:b/>
          <w:bCs/>
          <w:sz w:val="24"/>
        </w:rPr>
        <w:t xml:space="preserve">Second, the strength of the underlying physical processes</w:t>
      </w:r>
      <w:r>
        <w:rPr>
          <w:rFonts w:ascii="Times New Roman" w:hAnsi="Times New Roman" w:cs="Times New Roman" w:eastAsia="Times New Roman"/>
          <w:sz w:val="24"/>
        </w:rPr>
        <w:t xml:space="preserve">.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in subtropical coastal cities provides 1–3 K of nighttime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cooling at the immediate coast, decaying within 5–10 km inland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(Miller et al., 2003; Crosman &amp; Horel, 2010). Mountain shading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(gravity-driven) drainage flow can produce 2–4 K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additional cooling along the foothills (Whiteman, 2000). In Shenzhen,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its coast already saturated by water bodies, the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creates the larger spatial heterogeneity. We expect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relative weights to flip in cities with simpler coastlines (e.g.,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Hong Kong) or weaker mountains (e.g., Guangzhou).</w:t>
      </w:r>
    </w:p>
    <w:p>
      <w:pPr>
        <w:pStyle w:val="BodyText"/>
        <w:spacing w:line="480" w:lineRule="auto" w:before="0" w:after="0"/>
        <w:ind w:firstLine="0"/>
        <w:jc w:val="left"/>
      </w:pPr>
      <w:r>
        <w:rPr>
          <w:rFonts w:ascii="Times New Roman" w:hAnsi="Times New Roman" w:cs="Times New Roman" w:eastAsia="Times New Roman"/>
          <w:b/>
          <w:bCs/>
          <w:sz w:val="24"/>
        </w:rPr>
        <w:t xml:space="preserve">Third, interaction with LCZ form classes</w:t>
      </w:r>
      <w:r>
        <w:rPr>
          <w:rFonts w:ascii="Times New Roman" w:hAnsi="Times New Roman" w:cs="Times New Roman" w:eastAsia="Times New Roman"/>
          <w:sz w:val="24"/>
        </w:rPr>
        <w:t xml:space="preserve">. Within-LCZ Pearson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correlations (Section 3.9) reveal that LCZ 4 (Open high-rise),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8 (Large low-rise), and LCZ 10 (Heavy industry) exhibit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strongest mountain-distance gradients (</w:t>
      </w:r>
      <m:oMath>
        <m:r>
          <m:rPr>
            <m:sty m:val="p"/>
          </m:rPr>
          <m:t>|</m:t>
        </m:r>
        <m:r>
          <m:t>r</m:t>
        </m:r>
        <m:r>
          <m:rPr>
            <m:sty m:val="p"/>
          </m:rPr>
          <m:t>|</m:t>
        </m:r>
        <m:r>
          <m:rPr>
            <m:sty m:val="p"/>
          </m:rPr>
          <m:t>&gt;</m:t>
        </m:r>
        <m:r>
          <m:t>0.32</m:t>
        </m:r>
      </m:oMath>
      <w:r>
        <w:rPr>
          <w:rFonts w:ascii="Times New Roman" w:hAnsi="Times New Roman" w:cs="Times New Roman" w:eastAsia="Times New Roman"/>
          <w:sz w:val="24"/>
        </w:rPr>
        <w:t xml:space="preserve">). These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exactly the classes that occupy the broadest geographic span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across Shenzhen, from the southern coast to the northern foothills.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 (Compact high-rise) exhibits essentially no gradient (</w:t>
      </w:r>
      <m:oMath>
        <m:r>
          <m:rPr>
            <m:sty m:val="p"/>
          </m:rPr>
          <m:t>|</m:t>
        </m:r>
        <m:r>
          <m:t>r</m:t>
        </m:r>
        <m:r>
          <m:rPr>
            <m:sty m:val="p"/>
          </m:rPr>
          <m:t>|</m:t>
        </m:r>
        <m:r>
          <m:rPr>
            <m:sty m:val="p"/>
          </m:rPr>
          <m:t>&lt;</m:t>
        </m:r>
        <m:r>
          <m:t>0.06</m:t>
        </m:r>
      </m:oMath>
      <w:r>
        <w:rPr>
          <w:rFonts w:ascii="Times New Roman" w:hAnsi="Times New Roman" w:cs="Times New Roman" w:eastAsia="Times New Roman"/>
          <w:sz w:val="24"/>
        </w:rPr>
        <w:t xml:space="preserve">) because it is concentrated in central business districts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does not span the full geographic range.</w:t>
      </w:r>
    </w:p>
    <w:p>
      <w:pPr>
        <w:pStyle w:val="BodyText"/>
        <w:spacing w:line="480" w:lineRule="auto" w:before="0" w:after="0"/>
        <w:ind w:firstLine="0"/>
        <w:jc w:val="left"/>
      </w:pPr>
      <w:r>
        <w:rPr>
          <w:rFonts w:ascii="Times New Roman" w:hAnsi="Times New Roman" w:cs="Times New Roman" w:eastAsia="Times New Roman"/>
          <w:b/>
          <w:bCs/>
          <w:sz w:val="24"/>
        </w:rPr>
        <w:t xml:space="preserve">Connection to existing literature.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dominance of 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morphology in urban heat exposure is consistent with mesoscale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boundary-layer studies that emphasize sea–land breeze circulations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(Miller et al., 2003; Crosman &amp; Horel, 2010) and complex-terrain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flows (Whiteman, 2000), as well as with the canonical observation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local background climate sets the envelope within which urban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form modulates surface temperature (Oke, 1982; Voogt &amp; Oke, 2003;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Zhao et al., 2014; Oke et al., 2017). Our contribution is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quantify this dominance in an inequality framework: at the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 scale, geographic position absorbs more population-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weighted Gini than any of the form-or-topology features that current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subcategorization work emphasizes.</w:t>
      </w:r>
    </w:p>
    <w:p>
      <w:pPr>
        <w:pStyle w:val="BodyText"/>
        <w:spacing w:line="480" w:lineRule="auto" w:before="0" w:after="0"/>
        <w:ind w:firstLine="0"/>
        <w:jc w:val="left"/>
      </w:pPr>
      <w:r>
        <w:rPr>
          <w:rFonts w:ascii="Times New Roman" w:hAnsi="Times New Roman" w:cs="Times New Roman" w:eastAsia="Times New Roman"/>
          <w:b/>
          <w:bCs/>
          <w:sz w:val="24"/>
        </w:rPr>
        <w:t xml:space="preserve">Methodological lesson.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Adding more features to k-means is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free lunch. Coast + mountain (2 features) gave a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than coast + mountain + elevation (3 features). The 19-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combined Scheme F failed badly. Selecting a small set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physically grounded features outperforms throwing all available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data into the model.</w:t>
      </w:r>
    </w:p>
    <w:bookmarkEnd w:id="48"/>
    <w:bookmarkStart w:id="49" w:name="diurnal-asymmetry-confirms-the-mechanism"/>
    <w:p>
      <w:pPr>
        <w:pStyle w:val="Heading2"/>
        <w:spacing w:line="480" w:lineRule="auto" w:before="360" w:after="180"/>
        <w:ind w:firstLine="0"/>
        <w:jc w:val="left"/>
      </w:pPr>
      <w:r>
        <w:rPr>
          <w:rFonts w:ascii="Times New Roman" w:hAnsi="Times New Roman" w:cs="Times New Roman" w:eastAsia="Times New Roman"/>
          <w:b/>
          <w:sz w:val="24"/>
        </w:rPr>
        <w:t xml:space="preserve">4.6 Diurnal asymmetry confirms the mechanism</w:t>
      </w:r>
    </w:p>
    <w:p>
      <w:pPr>
        <w:pStyle w:val="FirstParagraph"/>
        <w:spacing w:line="480" w:lineRule="auto" w:before="0" w:after="0"/>
        <w:ind w:firstLine="0"/>
        <w:jc w:val="left"/>
      </w:pPr>
      <w:r>
        <w:rPr>
          <w:rFonts w:ascii="Times New Roman" w:hAnsi="Times New Roman" w:cs="Times New Roman" w:eastAsia="Times New Roman"/>
          <w:sz w:val="24"/>
        </w:rPr>
        <w:t xml:space="preserve">Section 3.10 split the July UTCI series into daytime (SHT 08–20)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nighttime (SHT 20–08) subsets and re-ran the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asymmetries match physical expectations cleanly: the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is stronger during the day (Day:Night = 1.39×),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stronger at night (0.86×).</w:t>
      </w:r>
    </w:p>
    <w:p>
      <w:pPr>
        <w:pStyle w:val="BodyText"/>
        <w:spacing w:line="480" w:lineRule="auto" w:before="0" w:after="0"/>
        <w:ind w:firstLine="0"/>
        <w:jc w:val="left"/>
      </w:pPr>
      <w:r>
        <w:rPr>
          <w:rFonts w:ascii="Times New Roman" w:hAnsi="Times New Roman" w:cs="Times New Roman" w:eastAsia="Times New Roman"/>
          <w:sz w:val="24"/>
        </w:rPr>
        <w:t xml:space="preserve">These two ratios convert our Section 3.9 narrative from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post-hoc interpretation into a directly tested mechanism.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is intermittent, peaking in the afternoon when land–sea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 contrasts are largest (Miller et al., 2003).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develops after sunset, when radiative surface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cooling on slopes drives gravity-driven drainage of cold air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toward the foothills (Whiteman, 2000). Our diurnal-stratified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reductions reproduce both signatures without requiring 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 modelling—they emerge directly from the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decomposition of population-weighted exposure.</w:t>
      </w:r>
    </w:p>
    <w:p>
      <w:pPr>
        <w:pStyle w:val="BodyText"/>
        <w:spacing w:line="480" w:lineRule="auto" w:before="0" w:after="0"/>
        <w:ind w:firstLine="0"/>
        <w:jc w:val="left"/>
      </w:pPr>
      <w:r>
        <w:rPr>
          <w:rFonts w:ascii="Times New Roman" w:hAnsi="Times New Roman" w:cs="Times New Roman" w:eastAsia="Times New Roman"/>
          <w:sz w:val="24"/>
        </w:rPr>
        <w:t xml:space="preserve">The within-LCZ Pearson correlations (Fig. 10b-c) sharpen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picture. The mountain signal in LCZ 8 (Large LR) strengthens from</w:t>
      </w:r>
      <w:r>
        <w:rPr>
          <w:rFonts w:ascii="Times New Roman" w:hAnsi="Times New Roman" w:cs="Times New Roman" w:eastAsia="Times New Roman"/>
          <w:sz w:val="24"/>
        </w:rPr>
        <w:t xml:space="preserve"> </w:t>
      </w:r>
      <m:oMath>
        <m:r>
          <m:t>r</m:t>
        </m:r>
        <m:r>
          <m:rPr>
            <m:sty m:val="p"/>
          </m:rPr>
          <m:t>=</m:t>
        </m:r>
        <m:r>
          <m:rPr>
            <m:sty m:val="p"/>
          </m:rPr>
          <m:t>−</m:t>
        </m:r>
        <m:r>
          <m:t>0.28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during the day to</w:t>
      </w:r>
      <w:r>
        <w:rPr>
          <w:rFonts w:ascii="Times New Roman" w:hAnsi="Times New Roman" w:cs="Times New Roman" w:eastAsia="Times New Roman"/>
          <w:sz w:val="24"/>
        </w:rPr>
        <w:t xml:space="preserve"> </w:t>
      </w:r>
      <m:oMath>
        <m:r>
          <m:t>r</m:t>
        </m:r>
        <m:r>
          <m:rPr>
            <m:sty m:val="p"/>
          </m:rPr>
          <m:t>=</m:t>
        </m:r>
        <m:r>
          <m:rPr>
            <m:sty m:val="p"/>
          </m:rPr>
          <m:t>−</m:t>
        </m:r>
        <m:r>
          <m:t>0.38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 a clear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fingerprint of nocturnal cool drainage. LCZ 1 (Compact HR),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CBD core, shows the opposite pattern:</w:t>
      </w:r>
      <w:r>
        <w:rPr>
          <w:rFonts w:ascii="Times New Roman" w:hAnsi="Times New Roman" w:cs="Times New Roman" w:eastAsia="Times New Roman"/>
          <w:sz w:val="24"/>
        </w:rPr>
        <w:t xml:space="preserve"> </w:t>
      </w:r>
      <m:oMath>
        <m:r>
          <m:t>r</m:t>
        </m:r>
        <m:r>
          <m:rPr>
            <m:sty m:val="p"/>
          </m:rPr>
          <m:t>=</m:t>
        </m:r>
        <m:r>
          <m:rPr>
            <m:sty m:val="p"/>
          </m:rPr>
          <m:t>−</m:t>
        </m:r>
        <m:r>
          <m:t>0.06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flipping to</w:t>
      </w:r>
      <w:r>
        <w:rPr>
          <w:rFonts w:ascii="Times New Roman" w:hAnsi="Times New Roman" w:cs="Times New Roman" w:eastAsia="Times New Roman"/>
          <w:sz w:val="24"/>
        </w:rPr>
        <w:t xml:space="preserve"> </w:t>
      </w:r>
      <m:oMath>
        <m:r>
          <m:t>r</m:t>
        </m:r>
        <m:r>
          <m:rPr>
            <m:sty m:val="p"/>
          </m:rPr>
          <m:t>=</m:t>
        </m:r>
        <m:r>
          <m:rPr>
            <m:sty m:val="p"/>
          </m:rPr>
          <m:t>+</m:t>
        </m:r>
        <m:r>
          <m:t>0.27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 This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violation of the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rather, it reveals that compact-high-rise downtown districts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far from the mountains and prone to strong nocturnal urban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retention through reduced sky view and high heat capacity.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mechanism still operates, but the canonical urban-heat-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island effect dominates the per-cell signature in LCZ 1 at night.</w:t>
      </w:r>
    </w:p>
    <w:p>
      <w:pPr>
        <w:pStyle w:val="BodyText"/>
        <w:spacing w:line="480" w:lineRule="auto" w:before="0" w:after="0"/>
        <w:ind w:firstLine="0"/>
        <w:jc w:val="left"/>
      </w:pPr>
      <w:r>
        <w:rPr>
          <w:rFonts w:ascii="Times New Roman" w:hAnsi="Times New Roman" w:cs="Times New Roman" w:eastAsia="Times New Roman"/>
          <w:sz w:val="24"/>
        </w:rPr>
        <w:t xml:space="preserve">These observations carry adaptation implications.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Coast-targeted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extending sea-breeze ventilation corridors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inland) will deliver relief during peak daytime stress,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heatstroke risk is highest.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Mountain-targeted 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preserving cool-air drainage paths from the northern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forested belt) will deliver relief during night, when sleep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disruption and heart-failure mortality peak. The two 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target different times of day and different health endpoints,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should be planned together rather than treated as substitutes.</w:t>
      </w:r>
    </w:p>
    <w:bookmarkEnd w:id="49"/>
    <w:bookmarkStart w:id="50" w:name="Xe4af212564b74cce3156e19897df5d2c3527510"/>
    <w:p>
      <w:pPr>
        <w:pStyle w:val="Heading2"/>
        <w:spacing w:line="480" w:lineRule="auto" w:before="360" w:after="180"/>
        <w:ind w:firstLine="0"/>
        <w:jc w:val="left"/>
      </w:pPr>
      <w:r>
        <w:rPr>
          <w:rFonts w:ascii="Times New Roman" w:hAnsi="Times New Roman" w:cs="Times New Roman" w:eastAsia="Times New Roman"/>
          <w:b/>
          <w:sz w:val="24"/>
        </w:rPr>
        <w:t xml:space="preserve">4.7 Seasonal stability and operational implications</w:t>
      </w:r>
    </w:p>
    <w:p>
      <w:pPr>
        <w:pStyle w:val="FirstParagraph"/>
        <w:spacing w:line="480" w:lineRule="auto" w:before="0" w:after="0"/>
        <w:ind w:firstLine="0"/>
        <w:jc w:val="left"/>
      </w:pPr>
      <w:r>
        <w:rPr>
          <w:rFonts w:ascii="Times New Roman" w:hAnsi="Times New Roman" w:cs="Times New Roman" w:eastAsia="Times New Roman"/>
          <w:sz w:val="24"/>
        </w:rPr>
        <w:t xml:space="preserve">Section 3.11 extended the analysis to four seasons of 2020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found that the Coast + Mountain combined Gini reduction exceeds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in winter, spring, summer, and autumn alike.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geographic dominance over morphology is therefore a year-round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property of Shenzhen’s urban climate, not a summer artifact.</w:t>
      </w:r>
    </w:p>
    <w:p>
      <w:pPr>
        <w:pStyle w:val="BodyText"/>
        <w:spacing w:line="480" w:lineRule="auto" w:before="0" w:after="0"/>
        <w:ind w:firstLine="0"/>
        <w:jc w:val="left"/>
      </w:pPr>
      <w:r>
        <w:rPr>
          <w:rFonts w:ascii="Times New Roman" w:hAnsi="Times New Roman" w:cs="Times New Roman" w:eastAsia="Times New Roman"/>
          <w:sz w:val="24"/>
        </w:rPr>
        <w:t xml:space="preserve">Two operational implications follow.</w:t>
      </w:r>
    </w:p>
    <w:p>
      <w:pPr>
        <w:pStyle w:val="BodyText"/>
        <w:spacing w:line="480" w:lineRule="auto" w:before="0" w:after="0"/>
        <w:ind w:firstLine="0"/>
        <w:jc w:val="left"/>
      </w:pPr>
      <w:r>
        <w:rPr>
          <w:rFonts w:ascii="Times New Roman" w:hAnsi="Times New Roman" w:cs="Times New Roman" w:eastAsia="Times New Roman"/>
          <w:b/>
          <w:bCs/>
          <w:sz w:val="24"/>
        </w:rPr>
        <w:t xml:space="preserve">First, year-round adaptation prioritisation should weight</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geography over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conclusion holds in the cool,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dry winter (when Gini reduction from coast + mountain is +6.11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as much as in the hot, humid summer (+11.31 pp).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budgets that allocate funds based on building form risk missing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larger inequality dimension.</w:t>
      </w:r>
    </w:p>
    <w:p>
      <w:pPr>
        <w:pStyle w:val="BodyText"/>
        <w:spacing w:line="480" w:lineRule="auto" w:before="0" w:after="0"/>
        <w:ind w:firstLine="0"/>
        <w:jc w:val="left"/>
      </w:pPr>
      <w:r>
        <w:rPr>
          <w:rFonts w:ascii="Times New Roman" w:hAnsi="Times New Roman" w:cs="Times New Roman" w:eastAsia="Times New Roman"/>
          <w:b/>
          <w:bCs/>
          <w:sz w:val="24"/>
        </w:rPr>
        <w:t xml:space="preserve">Second, the two mechanisms have complementary seasonal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profiles.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contribution is nearly flat year-round (+3.43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+3.56 pp), reflecting maritime heat-buffering that operates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 the ocean’s thermal mass. Mountain contribution varies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3.3× with season, peaking in summer when both daytime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evapotranspiration and nighttime cool drainage are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complementarity matters for adaptation timing: protecting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sea-breeze corridors gives consistent year-round benefits,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 protecting mountain cool-air drainage paths gives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largest summer-time benefits when health risk peaks.</w:t>
      </w:r>
    </w:p>
    <w:p>
      <w:pPr>
        <w:pStyle w:val="BodyText"/>
        <w:spacing w:line="480" w:lineRule="auto" w:before="0" w:after="0"/>
        <w:ind w:firstLine="0"/>
        <w:jc w:val="left"/>
      </w:pPr>
      <w:r>
        <w:rPr>
          <w:rFonts w:ascii="Times New Roman" w:hAnsi="Times New Roman" w:cs="Times New Roman" w:eastAsia="Times New Roman"/>
          <w:sz w:val="24"/>
        </w:rPr>
        <w:t xml:space="preserve">The 4-season analysis also reveals a counter-intuitive result.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Total population-weighted Gini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higher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(0.331)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in summer (0.055). This is not a contradiction: winter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reflects a wider relative spread in low-stress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temperatures (some sheltered cells stay around 15 °C while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exposed cells dip below 0 °C), while summer inequality reflects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narrower spread of much higher and more uniformly health-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threatening temperatures. Both seasons show the same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structural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dominance of geography over morphology, but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practical adaptation focus naturally falls on summer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vulnerability is greatest.</w:t>
      </w:r>
    </w:p>
    <w:p>
      <w:pPr>
        <w:pStyle w:val="BodyText"/>
        <w:spacing w:line="480" w:lineRule="auto" w:before="0" w:after="0"/>
        <w:ind w:firstLine="0"/>
        <w:jc w:val="left"/>
      </w:pPr>
      <w:r>
        <w:rPr>
          <w:rFonts w:ascii="Times New Roman" w:hAnsi="Times New Roman" w:cs="Times New Roman" w:eastAsia="Times New Roman"/>
          <w:sz w:val="24"/>
        </w:rPr>
        <w:t xml:space="preserve">These findings together close the WUDAPT-FUSE empirical loop: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fails (Phase 3), topology fails (Phase 5), 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succeeds (Phase 6), the geographic mechanism is mechanistically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grounded in sea breeze and katabatic flow (Phase 6.5),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is diurnally validated (Phase 7 L1), and the entire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picture is robust across seasons (Phase 7 L2).</w:t>
      </w:r>
    </w:p>
    <w:bookmarkEnd w:id="50"/>
    <w:bookmarkStart w:id="51" w:name="Xebf1c4d4e1a7d241a512359573da7a936c30a5c"/>
    <w:p>
      <w:pPr>
        <w:pStyle w:val="Heading2"/>
        <w:spacing w:line="480" w:lineRule="auto" w:before="360" w:after="180"/>
        <w:ind w:firstLine="0"/>
        <w:jc w:val="left"/>
      </w:pPr>
      <w:r>
        <w:rPr>
          <w:rFonts w:ascii="Times New Roman" w:hAnsi="Times New Roman" w:cs="Times New Roman" w:eastAsia="Times New Roman"/>
          <w:b/>
          <w:sz w:val="24"/>
        </w:rPr>
        <w:t xml:space="preserve">4.8 City compactness moderates the geographic mechanism</w:t>
      </w:r>
    </w:p>
    <w:p>
      <w:pPr>
        <w:pStyle w:val="FirstParagraph"/>
        <w:spacing w:line="480" w:lineRule="auto" w:before="0" w:after="0"/>
        <w:ind w:firstLine="0"/>
        <w:jc w:val="left"/>
      </w:pPr>
      <w:r>
        <w:rPr>
          <w:rFonts w:ascii="Times New Roman" w:hAnsi="Times New Roman" w:cs="Times New Roman" w:eastAsia="Times New Roman"/>
          <w:sz w:val="24"/>
        </w:rPr>
        <w:t xml:space="preserve">Section 3.12 extended the analysis to two additional GBA 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and discovered that the geographic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is not universal. The Coast + Mountain Gini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exceeded the 5 pp threshold in 100 % of Shenzhen seasons, 75 %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Dongguan seasons, and 0 % of Guangzhou seasons.</w:t>
      </w:r>
    </w:p>
    <w:p>
      <w:pPr>
        <w:pStyle w:val="BodyText"/>
        <w:spacing w:line="480" w:lineRule="auto" w:before="0" w:after="0"/>
        <w:ind w:firstLine="0"/>
        <w:jc w:val="left"/>
      </w:pPr>
      <w:r>
        <w:rPr>
          <w:rFonts w:ascii="Times New Roman" w:hAnsi="Times New Roman" w:cs="Times New Roman" w:eastAsia="Times New Roman"/>
          <w:sz w:val="24"/>
        </w:rPr>
        <w:t xml:space="preserve">This is a refinement, not a refutation. Three observations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explain the city dependence.</w:t>
      </w:r>
    </w:p>
    <w:p>
      <w:pPr>
        <w:pStyle w:val="BodyText"/>
        <w:spacing w:line="480" w:lineRule="auto" w:before="0" w:after="0"/>
        <w:ind w:firstLine="0"/>
        <w:jc w:val="left"/>
      </w:pPr>
      <w:r>
        <w:rPr>
          <w:rFonts w:ascii="Times New Roman" w:hAnsi="Times New Roman" w:cs="Times New Roman" w:eastAsia="Times New Roman"/>
          <w:b/>
          <w:bCs/>
          <w:sz w:val="24"/>
        </w:rPr>
        <w:t xml:space="preserve">First, the within-class baseline differs sharply between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Shenzhen’s within-LCZ Gini share starts at 86 %,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both start at 96–97 %. In other words,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is even more dominant in the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leaving less room for any single feature family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absorb. Geography happens to be enough in compact Dongguan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not in sprawling Guangzhou.</w:t>
      </w:r>
    </w:p>
    <w:p>
      <w:pPr>
        <w:pStyle w:val="BodyText"/>
        <w:spacing w:line="480" w:lineRule="auto" w:before="0" w:after="0"/>
        <w:ind w:firstLine="0"/>
        <w:jc w:val="left"/>
      </w:pPr>
      <w:r>
        <w:rPr>
          <w:rFonts w:ascii="Times New Roman" w:hAnsi="Times New Roman" w:cs="Times New Roman" w:eastAsia="Times New Roman"/>
          <w:b/>
          <w:bCs/>
          <w:sz w:val="24"/>
        </w:rPr>
        <w:t xml:space="preserve">Second, city compactness moderates the geographic signal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bounded cities (Shenzhen, Dongguan) have continuous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belts and short coast-to-mountain transects, so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small set of distance features captures most of the spatial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variation. Sprawling Guangzhou has the same total mountain area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share (36.4 % vs Shenzhen 41.5 %) but distributed across many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disjoint patches, weakening the discriminative power of a single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feature.</w:t>
      </w:r>
    </w:p>
    <w:p>
      <w:pPr>
        <w:pStyle w:val="BodyText"/>
        <w:spacing w:line="480" w:lineRule="auto" w:before="0" w:after="0"/>
        <w:ind w:firstLine="0"/>
        <w:jc w:val="left"/>
      </w:pPr>
      <w:r>
        <w:rPr>
          <w:rFonts w:ascii="Times New Roman" w:hAnsi="Times New Roman" w:cs="Times New Roman" w:eastAsia="Times New Roman"/>
          <w:b/>
          <w:bCs/>
          <w:sz w:val="24"/>
        </w:rPr>
        <w:t xml:space="preserve">Third, the mountain dominance over coast holds in all three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Even when absolute Gini reductions differ,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consistently larger than the coast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 5.3 vs 3.5 pp (1.5×), Dongguan 6.1 vs 2.7 pp (2.3×),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1.6 vs 1.9 pp (similar small magnitudes).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mechanism is the more universal of the two physical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processes, even though its absolute strength varies with city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Implications for adaptation policy across the GBA.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should prioritise protecting and extending the natural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mountain-coast cooling network. Sprawling cities like Guangzhou</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require additional, finer-scale interventions (e.g., dense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networks of small parks, mid-block ventilation corridors,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material albedo upgrades) because the natural geographic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gradients are not strong enough on their own to absorb 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 inequality.</w:t>
      </w:r>
    </w:p>
    <w:p>
      <w:pPr>
        <w:pStyle w:val="BodyText"/>
        <w:spacing w:line="480" w:lineRule="auto" w:before="0" w:after="0"/>
        <w:ind w:firstLine="0"/>
        <w:jc w:val="left"/>
      </w:pPr>
      <w:r>
        <w:rPr>
          <w:rFonts w:ascii="Times New Roman" w:hAnsi="Times New Roman" w:cs="Times New Roman" w:eastAsia="Times New Roman"/>
          <w:b/>
          <w:bCs/>
          <w:sz w:val="24"/>
        </w:rPr>
        <w:t xml:space="preserve">Methodological lesson.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Single-city studies risk over-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generalising city-specific results. Our 3-city test is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exhaustive (Hong Kong, Macau, and Foshan would expand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but it already shows that the mechanism strength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function of city geometry, not just regional climate.</w:t>
      </w:r>
    </w:p>
    <w:bookmarkEnd w:id="51"/>
    <w:bookmarkStart w:id="52" w:name="what-topology-adds-and-what-it-does-not"/>
    <w:p>
      <w:pPr>
        <w:pStyle w:val="Heading2"/>
        <w:spacing w:line="480" w:lineRule="auto" w:before="360" w:after="180"/>
        <w:ind w:firstLine="0"/>
        <w:jc w:val="left"/>
      </w:pPr>
      <w:r>
        <w:rPr>
          <w:rFonts w:ascii="Times New Roman" w:hAnsi="Times New Roman" w:cs="Times New Roman" w:eastAsia="Times New Roman"/>
          <w:b/>
          <w:sz w:val="24"/>
        </w:rPr>
        <w:t xml:space="preserve">4.9 What topology adds, and what it does not</w:t>
      </w:r>
    </w:p>
    <w:p>
      <w:pPr>
        <w:pStyle w:val="FirstParagraph"/>
        <w:spacing w:line="480" w:lineRule="auto" w:before="0" w:after="0"/>
        <w:ind w:firstLine="0"/>
        <w:jc w:val="left"/>
      </w:pPr>
      <w:r>
        <w:rPr>
          <w:rFonts w:ascii="Times New Roman" w:hAnsi="Times New Roman" w:cs="Times New Roman" w:eastAsia="Times New Roman"/>
          <w:sz w:val="24"/>
        </w:rPr>
        <w:t xml:space="preserve">Phase 4 (Section 3.6) showed that the topological signature of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field varies by 14× across LCZ classes—qualitative evidence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topology encodes information morphology cannot. We then tested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directly in Phase 5 (Section 3.7) by adding five local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topological features to the eight UMPs in the k-means step.</w:t>
      </w:r>
    </w:p>
    <w:p>
      <w:pPr>
        <w:pStyle w:val="BodyText"/>
        <w:spacing w:line="480" w:lineRule="auto" w:before="0" w:after="0"/>
        <w:ind w:firstLine="0"/>
        <w:jc w:val="left"/>
      </w:pPr>
      <w:r>
        <w:rPr>
          <w:rFonts w:ascii="Times New Roman" w:hAnsi="Times New Roman" w:cs="Times New Roman" w:eastAsia="Times New Roman"/>
          <w:sz w:val="24"/>
        </w:rPr>
        <w:t xml:space="preserve">The experiment yielded a clean negative result. The hybrid scheme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C) reduced within-class Gini by 0.88 pp,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slightly worse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than UMPs alone (1.02 pp)</w:t>
      </w:r>
      <w:r>
        <w:rPr>
          <w:rFonts w:ascii="Times New Roman" w:hAnsi="Times New Roman" w:cs="Times New Roman" w:eastAsia="Times New Roman"/>
          <w:sz w:val="24"/>
        </w:rPr>
        <w:t xml:space="preserve">. Topology used in isolation (Scheme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performed worst (0.21 pp). This forces us to conclude that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spatial geometry—whether expressed as building form or as local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UTCI topology—does not drive within-class heat inequality at the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100-m scale</w:t>
      </w:r>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sz w:val="24"/>
        </w:rPr>
        <w:t xml:space="preserve">Three caveats apply. First, our convolution-based topology proxies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 not capture every signal that full per-cell persistent homology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would. A more rigorous test using sliding-window persistence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diagrams might recover more inequality. We estimate, however,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gain would be small: the qualitative ordering of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Fig. 6 already aligns closely with the ordering produced by 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proxies. Second, our 25-km ERA5 input limits how much fine-scale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heterogeneity any synthesis method can recover at 100 m, and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neural-operator-based downscaling that learns 100-m UTCI directly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could lift this ceiling. Third, our test uses only July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patterns may differ in winter or under heatwaves.</w:t>
      </w:r>
    </w:p>
    <w:p>
      <w:pPr>
        <w:pStyle w:val="BodyText"/>
        <w:spacing w:line="480" w:lineRule="auto" w:before="0" w:after="0"/>
        <w:ind w:firstLine="0"/>
        <w:jc w:val="left"/>
      </w:pPr>
      <w:r>
        <w:rPr>
          <w:rFonts w:ascii="Times New Roman" w:hAnsi="Times New Roman" w:cs="Times New Roman" w:eastAsia="Times New Roman"/>
          <w:sz w:val="24"/>
        </w:rPr>
        <w:t xml:space="preserve">Even with these caveats, the cumulative evidence from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independent spatial geometry lenses points to the same conclusion: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lives elsewhere. The next phase of WUDAPT-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FUSE will test non-geometric drivers: (i) time-of-day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asymmetries, (ii) building-material albedo and thermal mass, (iii)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anthropogenic heat from cooling systems, and (iv) socioeconomic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exposure mediators (income, occupation, dynamic population).</w:t>
      </w:r>
    </w:p>
    <w:bookmarkEnd w:id="52"/>
    <w:bookmarkStart w:id="53" w:name="next-steps"/>
    <w:p>
      <w:pPr>
        <w:pStyle w:val="Heading2"/>
        <w:spacing w:line="480" w:lineRule="auto" w:before="360" w:after="180"/>
        <w:ind w:firstLine="0"/>
        <w:jc w:val="left"/>
      </w:pPr>
      <w:r>
        <w:rPr>
          <w:rFonts w:ascii="Times New Roman" w:hAnsi="Times New Roman" w:cs="Times New Roman" w:eastAsia="Times New Roman"/>
          <w:b/>
          <w:sz w:val="24"/>
        </w:rPr>
        <w:t xml:space="preserve">4.10 Next steps</w:t>
      </w:r>
    </w:p>
    <w:p>
      <w:pPr>
        <w:pStyle w:val="FirstParagraph"/>
        <w:spacing w:line="480" w:lineRule="auto" w:before="0" w:after="0"/>
        <w:ind w:firstLine="0"/>
        <w:jc w:val="left"/>
      </w:pPr>
      <w:r>
        <w:rPr>
          <w:rFonts w:ascii="Times New Roman" w:hAnsi="Times New Roman" w:cs="Times New Roman" w:eastAsia="Times New Roman"/>
          <w:sz w:val="24"/>
        </w:rPr>
        <w:t xml:space="preserve">Our findings define the next steps for WUDAPT-FUSE. (i) A Fourier Neural Operator will replace deviation injection and learn 100-m UTCI directly from multi-source inputs. (ii) Topology-augmented subcategorization (form + persistent homology) will be tested against the morphology-only benchmark. (iii) Symbolic regression will search for closed-form expressions linking morphology to UTCI. (iv) Convergent cross-mapping on time-lagged station data will identify nonlinear causal drivers.</w:t>
      </w:r>
    </w:p>
    <w:p>
      <w:pPr>
        <w:pStyle w:val="BodyText"/>
        <w:spacing w:line="480" w:lineRule="auto" w:before="0" w:after="0"/>
        <w:ind w:firstLine="0"/>
        <w:jc w:val="left"/>
      </w:pPr>
      <w:r>
        <w:rPr>
          <w:rFonts w:ascii="Times New Roman" w:hAnsi="Times New Roman" w:cs="Times New Roman" w:eastAsia="Times New Roman"/>
          <w:sz w:val="24"/>
        </w:rPr>
        <w:t xml:space="preserve">Together, these steps will move from morphology-only refinement to multi-dimensional analysis. We will apply the framework to Hong Kong and Macao next, to test whether the geographic-position pattern holds across the full Greater Bay Area.</w:t>
      </w:r>
    </w:p>
    <w:bookmarkEnd w:id="53"/>
    <w:bookmarkEnd w:id="54"/>
    <w:bookmarkStart w:id="55" w:name="conclusions"/>
    <w:p>
      <w:pPr>
        <w:pStyle w:val="Heading1"/>
        <w:spacing w:line="480" w:lineRule="auto" w:before="480" w:after="240"/>
        <w:ind w:firstLine="0"/>
        <w:jc w:val="left"/>
      </w:pPr>
      <w:r>
        <w:rPr>
          <w:rFonts w:ascii="Times New Roman" w:hAnsi="Times New Roman" w:cs="Times New Roman" w:eastAsia="Times New Roman"/>
          <w:b/>
          <w:sz w:val="24"/>
        </w:rPr>
        <w:t xml:space="preserve">5. Conclusions</w:t>
      </w:r>
    </w:p>
    <w:p>
      <w:pPr>
        <w:pStyle w:val="FirstParagraph"/>
        <w:spacing w:line="480" w:lineRule="auto" w:before="0" w:after="0"/>
        <w:ind w:firstLine="0"/>
        <w:jc w:val="left"/>
      </w:pPr>
      <w:r>
        <w:rPr>
          <w:rFonts w:ascii="Times New Roman" w:hAnsi="Times New Roman" w:cs="Times New Roman" w:eastAsia="Times New Roman"/>
          <w:sz w:val="24"/>
        </w:rPr>
        <w:t xml:space="preserve">This study presents WUDAPT-FUSE, a workstation-runnable analytical framework that fuses four open data sources to test competing explanations of within-class urban heat exposure inequality at the 100-m scale. Applied to three Greater Bay Area cities (Shenzhen, Guangzhou, Dongguan) across four seasons of 2020, the framework supports four conclusions:</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Within-class inequality dominates total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population-weighted Heat Degree Hours Gini reaches 0.057, with 83.5% of total inequality lying inside individual LCZ classes. This finding contradicts the implicit assumption that LCZ-class membership is sufficient to characterise neighbourhood heat exposure.</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Building morphology and topology cannot absorb within-class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 the nine built-up LCZ classes (where the within-class share is 86.4% on a same-baseline analysis), refining them into 39 morphology-driven subcategories reduces this share by only 1.0 percentage point (86.4% → 85.4%); topology proxies add 0.2 pp; the form-plus-topology hybrid adds 0.9 pp—all far below the 5-pp threshold for substantive explanation.</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Geographic position is the missing factor.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three-feature scheme combining distance to coast, distance to mountain, and an elevation proxy reduces within-class Gini by 10.8 pp—roughly ten times the morphology baseline—and the Coast + Mountain two-feature combination peaks at 14.3 pp. The mechanism is physical (sea-breeze convergence by day, katabatic flow by night), temporally robust across four seasons, and transferable to compact GBA cities (Shenzhen 4/4, Dongguan 3/4) but not to the sprawling case (Guangzhou 0/4).</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Implications for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Heat-equity interventions should prioritise geographic factors—coast-proximal cooling corridors, mountain-shadow protection, and elevation-aware building siting—rather than morphology-targeted retrofits within already-classified LCZ patches. The 1.0-pp morphology contribution implies that retrofitting building form alone will deliver disproportionately small public-health returns relative to coastal- and mountain-aligned planning.</w:t>
      </w:r>
    </w:p>
    <w:p>
      <w:pPr>
        <w:pStyle w:val="FirstParagraph"/>
        <w:spacing w:line="480" w:lineRule="auto" w:before="0" w:after="0"/>
        <w:ind w:firstLine="0"/>
        <w:jc w:val="left"/>
      </w:pPr>
      <w:r>
        <w:rPr>
          <w:rFonts w:ascii="Times New Roman" w:hAnsi="Times New Roman" w:cs="Times New Roman" w:eastAsia="Times New Roman"/>
          <w:sz w:val="24"/>
        </w:rPr>
        <w:t xml:space="preserve">The complete WUDAPT-FUSE pipeline runs end-to-end in under five minutes on a single GPU workstation; all code, derived data products, and synthesis recipes are released under permissive licences (Section 6) to support replication and extension to additional subtropical and tropical cities.</w:t>
      </w:r>
    </w:p>
    <w:bookmarkEnd w:id="55"/>
    <w:bookmarkStart w:id="56" w:name="credit-authorship-contribution-statement"/>
    <w:p>
      <w:pPr>
        <w:pStyle w:val="Heading1"/>
        <w:spacing w:line="480" w:lineRule="auto" w:before="480" w:after="240"/>
        <w:ind w:firstLine="0"/>
        <w:jc w:val="left"/>
      </w:pPr>
      <w:r>
        <w:rPr>
          <w:rFonts w:ascii="Times New Roman" w:hAnsi="Times New Roman" w:cs="Times New Roman" w:eastAsia="Times New Roman"/>
          <w:b/>
          <w:sz w:val="24"/>
        </w:rPr>
        <w:t xml:space="preserve">6. CRediT authorship contribution statement</w:t>
      </w:r>
    </w:p>
    <w:p>
      <w:pPr>
        <w:pStyle w:val="FirstParagraph"/>
        <w:spacing w:line="480" w:lineRule="auto" w:before="0" w:after="0"/>
        <w:ind w:firstLine="0"/>
        <w:jc w:val="left"/>
      </w:pPr>
      <w:r>
        <w:rPr>
          <w:rFonts w:ascii="Times New Roman" w:hAnsi="Times New Roman" w:cs="Times New Roman" w:eastAsia="Times New Roman"/>
          <w:b/>
          <w:bCs/>
          <w:sz w:val="24"/>
        </w:rPr>
        <w:t xml:space="preserve">Yanhuo Luo: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Conceptualization, Methodology, Software, Validation, Formal analysis, Investigation, Data curation, Resources, Writing — original draft, Writing — review &amp; editing, Visualization, Project administration.</w:t>
      </w:r>
    </w:p>
    <w:p>
      <w:pPr>
        <w:pStyle w:val="BodyText"/>
        <w:spacing w:line="480" w:lineRule="auto" w:before="0" w:after="0"/>
        <w:ind w:firstLine="0"/>
        <w:jc w:val="left"/>
      </w:pPr>
      <w:r>
        <w:rPr>
          <w:rFonts w:ascii="Times New Roman" w:hAnsi="Times New Roman" w:cs="Times New Roman" w:eastAsia="Times New Roman"/>
          <w:sz w:val="24"/>
        </w:rPr>
        <w:t xml:space="preserve">The author has read and approved the final manuscript.</w:t>
      </w:r>
    </w:p>
    <w:bookmarkEnd w:id="56"/>
    <w:bookmarkStart w:id="57" w:name="declaration-of-competing-interest"/>
    <w:p>
      <w:pPr>
        <w:pStyle w:val="Heading1"/>
        <w:spacing w:line="480" w:lineRule="auto" w:before="480" w:after="240"/>
        <w:ind w:firstLine="0"/>
        <w:jc w:val="left"/>
      </w:pPr>
      <w:r>
        <w:rPr>
          <w:rFonts w:ascii="Times New Roman" w:hAnsi="Times New Roman" w:cs="Times New Roman" w:eastAsia="Times New Roman"/>
          <w:b/>
          <w:sz w:val="24"/>
        </w:rPr>
        <w:t xml:space="preserve">7. Declaration of competing interest</w:t>
      </w:r>
    </w:p>
    <w:p>
      <w:pPr>
        <w:pStyle w:val="FirstParagraph"/>
        <w:spacing w:line="480" w:lineRule="auto" w:before="0" w:after="0"/>
        <w:ind w:firstLine="0"/>
        <w:jc w:val="left"/>
      </w:pPr>
      <w:r>
        <w:rPr>
          <w:rFonts w:ascii="Times New Roman" w:hAnsi="Times New Roman" w:cs="Times New Roman" w:eastAsia="Times New Roman"/>
          <w:sz w:val="24"/>
        </w:rPr>
        <w:t xml:space="preserve">The author declares that he has no known competing financial interests or personal relationships that could have appeared to influence the work reported in this paper.</w:t>
      </w:r>
    </w:p>
    <w:bookmarkEnd w:id="57"/>
    <w:bookmarkStart w:id="58" w:name="funding"/>
    <w:p>
      <w:pPr>
        <w:pStyle w:val="Heading1"/>
        <w:spacing w:line="480" w:lineRule="auto" w:before="480" w:after="240"/>
        <w:ind w:firstLine="0"/>
        <w:jc w:val="left"/>
      </w:pPr>
      <w:r>
        <w:rPr>
          <w:rFonts w:ascii="Times New Roman" w:hAnsi="Times New Roman" w:cs="Times New Roman" w:eastAsia="Times New Roman"/>
          <w:b/>
          <w:sz w:val="24"/>
        </w:rPr>
        <w:t xml:space="preserve">8. Funding</w:t>
      </w:r>
    </w:p>
    <w:p>
      <w:pPr>
        <w:pStyle w:val="FirstParagraph"/>
        <w:spacing w:line="480" w:lineRule="auto" w:before="0" w:after="0"/>
        <w:ind w:firstLine="0"/>
        <w:jc w:val="left"/>
      </w:pPr>
      <w:r>
        <w:rPr>
          <w:rFonts w:ascii="Times New Roman" w:hAnsi="Times New Roman" w:cs="Times New Roman" w:eastAsia="Times New Roman"/>
          <w:sz w:val="24"/>
        </w:rPr>
        <w:t xml:space="preserve">This research did not receive any specific grant from funding agencies in the public, commercial, or not-for-profit sectors.</w:t>
      </w:r>
    </w:p>
    <w:bookmarkEnd w:id="58"/>
    <w:bookmarkStart w:id="59" w:name="data-availability"/>
    <w:p>
      <w:pPr>
        <w:pStyle w:val="Heading1"/>
        <w:spacing w:line="480" w:lineRule="auto" w:before="480" w:after="240"/>
        <w:ind w:firstLine="0"/>
        <w:jc w:val="left"/>
      </w:pPr>
      <w:r>
        <w:rPr>
          <w:rFonts w:ascii="Times New Roman" w:hAnsi="Times New Roman" w:cs="Times New Roman" w:eastAsia="Times New Roman"/>
          <w:b/>
          <w:sz w:val="24"/>
        </w:rPr>
        <w:t xml:space="preserve">9. Data availability</w:t>
      </w:r>
    </w:p>
    <w:p>
      <w:pPr>
        <w:pStyle w:val="FirstParagraph"/>
        <w:spacing w:line="480" w:lineRule="auto" w:before="0" w:after="0"/>
        <w:ind w:firstLine="0"/>
        <w:jc w:val="left"/>
      </w:pPr>
      <w:r>
        <w:rPr>
          <w:rFonts w:ascii="Times New Roman" w:hAnsi="Times New Roman" w:cs="Times New Roman" w:eastAsia="Times New Roman"/>
          <w:sz w:val="24"/>
        </w:rPr>
        <w:t xml:space="preserve">All data used in this study are derived from openly available sources:</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ERA5-HEAT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Universal Thermal Climate Index reanalysis: Copernicus Climate Data Store (https://cds.climate.copernicus.eu).</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Local Climate Zone 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(100 m global, Demuzere et al., 2022): https://doi.org/10.5281/zenodo.6364594.</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WorldPop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(constrained, 100 m): https://www.worldpop.org.</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OpenStreetMap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building footprints (extracted via OSMnx): https://www.openstreetmap.org.</w:t>
      </w:r>
    </w:p>
    <w:p>
      <w:pPr>
        <w:pStyle w:val="FirstParagraph"/>
        <w:spacing w:line="480" w:lineRule="auto" w:before="0" w:after="0"/>
        <w:ind w:firstLine="0"/>
        <w:jc w:val="left"/>
      </w:pPr>
      <w:r>
        <w:rPr>
          <w:rFonts w:ascii="Times New Roman" w:hAnsi="Times New Roman" w:cs="Times New Roman" w:eastAsia="Times New Roman"/>
          <w:sz w:val="24"/>
        </w:rPr>
        <w:t xml:space="preserve">Derived 100-m hourly UTCI fields, LCZ subcategory grids, urban morphological parameters, and Gini decomposition results for the three GBA cities have been deposited at Zenodo (https://doi.org/10.5281/zenodo.20080489). The full pipeline code is openly available at https://github.com/s2134612-hub/WUDAPT-FUSE under the MIT licence (Luo, 2026,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Zenodo</w:t>
      </w:r>
      <w:r>
        <w:rPr>
          <w:rFonts w:ascii="Times New Roman" w:hAnsi="Times New Roman" w:cs="Times New Roman" w:eastAsia="Times New Roman"/>
          <w:sz w:val="24"/>
        </w:rPr>
        <w:t xml:space="preserve">, 10.5281/zenodo.20080489).</w:t>
      </w:r>
    </w:p>
    <w:bookmarkEnd w:id="59"/>
    <w:bookmarkStart w:id="60" w:name="acknowledgments"/>
    <w:p>
      <w:pPr>
        <w:pStyle w:val="Heading1"/>
        <w:spacing w:line="480" w:lineRule="auto" w:before="480" w:after="240"/>
        <w:ind w:firstLine="0"/>
        <w:jc w:val="left"/>
      </w:pPr>
      <w:r>
        <w:rPr>
          <w:rFonts w:ascii="Times New Roman" w:hAnsi="Times New Roman" w:cs="Times New Roman" w:eastAsia="Times New Roman"/>
          <w:b/>
          <w:sz w:val="24"/>
        </w:rPr>
        <w:t xml:space="preserve">Acknowledgments</w:t>
      </w:r>
    </w:p>
    <w:p>
      <w:pPr>
        <w:pStyle w:val="FirstParagraph"/>
        <w:spacing w:line="480" w:lineRule="auto" w:before="0" w:after="0"/>
        <w:ind w:firstLine="0"/>
        <w:jc w:val="left"/>
      </w:pPr>
      <w:r>
        <w:rPr>
          <w:rFonts w:ascii="Times New Roman" w:hAnsi="Times New Roman" w:cs="Times New Roman" w:eastAsia="Times New Roman"/>
          <w:sz w:val="24"/>
        </w:rPr>
        <w:t xml:space="preserve">The author thanks the developers of the Demuzere global LCZ map, ERA5-HEAT, WorldPop, OSMnx, and OpenStreetMap for openly releasing the data products that made this work possible, and acknowledges the Copernicus Climate Change Service for ERA5 reanalysis access. The author also thanks the Shenzhen Meteorological Bureau for ground observations used in robustness checks, and the Huang et al. (2026) and Liu et al. (2026) teams for sharing methods that informed the design of WUDAPT-FUSE. The author is grateful to the supervisors and colleagues at the Institute for Advanced Studies, University of Malaya, for their guidance during this study.</w:t>
      </w:r>
    </w:p>
    <w:bookmarkEnd w:id="60"/>
    <w:bookmarkStart w:id="61" w:name="references"/>
    <w:p>
      <w:pPr>
        <w:pStyle w:val="Heading1"/>
        <w:spacing w:line="480" w:lineRule="auto" w:before="480" w:after="240"/>
        <w:ind w:firstLine="0"/>
        <w:jc w:val="left"/>
      </w:pPr>
      <w:r>
        <w:rPr>
          <w:rFonts w:ascii="Times New Roman" w:hAnsi="Times New Roman" w:cs="Times New Roman" w:eastAsia="Times New Roman"/>
          <w:b/>
          <w:sz w:val="24"/>
        </w:rPr>
        <w:t xml:space="preserve">References</w:t>
      </w:r>
    </w:p>
    <w:p>
      <w:pPr>
        <w:pStyle w:val="FirstParagraph"/>
        <w:spacing w:line="480" w:lineRule="auto" w:before="0" w:after="0"/>
        <w:ind w:firstLine="0"/>
        <w:jc w:val="left"/>
      </w:pPr>
      <w:r>
        <w:rPr>
          <w:rFonts w:ascii="Times New Roman" w:hAnsi="Times New Roman" w:cs="Times New Roman" w:eastAsia="Times New Roman"/>
          <w:sz w:val="24"/>
        </w:rPr>
        <w:t xml:space="preserve">Adams, H., Emerson, T., Kirby, M., Neville, R., Peterson, C., Shipman, P., Chepushtanova, S., Hanson, E., Motta, F., &amp; Ziegelmeier, L. (2017). Persistence images: A stable vector representation of persistent homology.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Machine Learning Research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18</w:t>
      </w:r>
      <w:r>
        <w:rPr>
          <w:rFonts w:ascii="Times New Roman" w:hAnsi="Times New Roman" w:cs="Times New Roman" w:eastAsia="Times New Roman"/>
          <w:sz w:val="24"/>
        </w:rPr>
        <w:t xml:space="preserve">(8), 1–35.</w:t>
      </w:r>
    </w:p>
    <w:p>
      <w:pPr>
        <w:pStyle w:val="BodyText"/>
        <w:spacing w:line="480" w:lineRule="auto" w:before="0" w:after="0"/>
        <w:ind w:firstLine="0"/>
        <w:jc w:val="left"/>
      </w:pPr>
      <w:r>
        <w:rPr>
          <w:rFonts w:ascii="Times New Roman" w:hAnsi="Times New Roman" w:cs="Times New Roman" w:eastAsia="Times New Roman"/>
          <w:sz w:val="24"/>
        </w:rPr>
        <w:t xml:space="preserve">Atkinson, A. B. (1970). On the measurement of inequality.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Economic Theory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w:t>
      </w:r>
      <w:r>
        <w:rPr>
          <w:rFonts w:ascii="Times New Roman" w:hAnsi="Times New Roman" w:cs="Times New Roman" w:eastAsia="Times New Roman"/>
          <w:sz w:val="24"/>
        </w:rPr>
        <w:t xml:space="preserve">(3), 244–263. https://doi.org/10.1016/0022-0531(70)90039-6</w:t>
      </w:r>
    </w:p>
    <w:p>
      <w:pPr>
        <w:pStyle w:val="BodyText"/>
        <w:spacing w:line="480" w:lineRule="auto" w:before="0" w:after="0"/>
        <w:ind w:firstLine="0"/>
        <w:jc w:val="left"/>
      </w:pPr>
      <w:r>
        <w:rPr>
          <w:rFonts w:ascii="Times New Roman" w:hAnsi="Times New Roman" w:cs="Times New Roman" w:eastAsia="Times New Roman"/>
          <w:sz w:val="24"/>
        </w:rPr>
        <w:t xml:space="preserve">Bechtel, B., Alexander, P. J., Böhner, J., Ching, J., Conrad, O., Feddema, J., Mills, G., See, L., &amp; Stewart, I. (2015). Mapping local climate zones for a worldwide database of the form and function of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ISPRS International Journal of Geo-Information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(1), 199–219. https://doi.org/10.3390/ijgi4010199</w:t>
      </w:r>
    </w:p>
    <w:p>
      <w:pPr>
        <w:pStyle w:val="BodyText"/>
        <w:spacing w:line="480" w:lineRule="auto" w:before="0" w:after="0"/>
        <w:ind w:firstLine="0"/>
        <w:jc w:val="left"/>
      </w:pPr>
      <w:r>
        <w:rPr>
          <w:rFonts w:ascii="Times New Roman" w:hAnsi="Times New Roman" w:cs="Times New Roman" w:eastAsia="Times New Roman"/>
          <w:sz w:val="24"/>
        </w:rPr>
        <w:t xml:space="preserve">Bechtel, B., Alexander, P. J., Beck, C., Böhner, J., Brousse, O., Ching, J., Demuzere, M., Fonte, C., Gál, T., Hidalgo, J., Hoffmann, P., Middel, A., Mills, G., Ren, C., See, L., Sismanidis, P., Verdonck, M.-L., Xu, G., &amp; Xu, Y. (2019). Generating WUDAPT Level 0 data — Current status of production and evaluation.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Urban Climate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27</w:t>
      </w:r>
      <w:r>
        <w:rPr>
          <w:rFonts w:ascii="Times New Roman" w:hAnsi="Times New Roman" w:cs="Times New Roman" w:eastAsia="Times New Roman"/>
          <w:sz w:val="24"/>
        </w:rPr>
        <w:t xml:space="preserve">, 24–45. https://doi.org/10.1016/j.uclim.2018.10.001</w:t>
      </w:r>
    </w:p>
    <w:p>
      <w:pPr>
        <w:pStyle w:val="BodyText"/>
        <w:spacing w:line="480" w:lineRule="auto" w:before="0" w:after="0"/>
        <w:ind w:firstLine="0"/>
        <w:jc w:val="left"/>
      </w:pPr>
      <w:r>
        <w:rPr>
          <w:rFonts w:ascii="Times New Roman" w:hAnsi="Times New Roman" w:cs="Times New Roman" w:eastAsia="Times New Roman"/>
          <w:sz w:val="24"/>
        </w:rPr>
        <w:t xml:space="preserve">Błażejczyk, K., Jendritzky, G., Bröde, P., Fiala, D., Havenith, G., Epstein, Y., Psikuta, A., &amp; Kampmann, B. (2013). An introduction to the Universal Thermal Climate Index (UTCI).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Geographia Polonica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(1), 5–10. https://doi.org/10.7163/GPol.2013.1</w:t>
      </w:r>
    </w:p>
    <w:p>
      <w:pPr>
        <w:pStyle w:val="BodyText"/>
        <w:spacing w:line="480" w:lineRule="auto" w:before="0" w:after="0"/>
        <w:ind w:firstLine="0"/>
        <w:jc w:val="left"/>
      </w:pPr>
      <w:r>
        <w:rPr>
          <w:rFonts w:ascii="Times New Roman" w:hAnsi="Times New Roman" w:cs="Times New Roman" w:eastAsia="Times New Roman"/>
          <w:sz w:val="24"/>
        </w:rPr>
        <w:t xml:space="preserve">Boeing, G. (2017). OSMnx: New methods for acquiring, constructing, analyzing, and visualizing complex street networks.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Computers, Environment and Urban Systems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65</w:t>
      </w:r>
      <w:r>
        <w:rPr>
          <w:rFonts w:ascii="Times New Roman" w:hAnsi="Times New Roman" w:cs="Times New Roman" w:eastAsia="Times New Roman"/>
          <w:sz w:val="24"/>
        </w:rPr>
        <w:t xml:space="preserve">, 126–139. https://doi.org/10.1016/j.compenvurbsys.2017.05.004</w:t>
      </w:r>
    </w:p>
    <w:p>
      <w:pPr>
        <w:pStyle w:val="BodyText"/>
        <w:spacing w:line="480" w:lineRule="auto" w:before="0" w:after="0"/>
        <w:ind w:firstLine="0"/>
        <w:jc w:val="left"/>
      </w:pPr>
      <w:r>
        <w:rPr>
          <w:rFonts w:ascii="Times New Roman" w:hAnsi="Times New Roman" w:cs="Times New Roman" w:eastAsia="Times New Roman"/>
          <w:sz w:val="24"/>
        </w:rPr>
        <w:t xml:space="preserve">Bröde, P., Fiala, D., Błażejczyk, K., Holmér, I., Jendritzky, G., Kampmann, B., Tinz, B., &amp; Havenith, G. (2012). Deriving the operational procedure for the Universal Thermal Climate Index (UTCI).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56</w:t>
      </w:r>
      <w:r>
        <w:rPr>
          <w:rFonts w:ascii="Times New Roman" w:hAnsi="Times New Roman" w:cs="Times New Roman" w:eastAsia="Times New Roman"/>
          <w:sz w:val="24"/>
        </w:rPr>
        <w:t xml:space="preserve">(3), 481–494. https://doi.org/10.1007/s00484-011-0454-1</w:t>
      </w:r>
    </w:p>
    <w:p>
      <w:pPr>
        <w:pStyle w:val="BodyText"/>
        <w:spacing w:line="480" w:lineRule="auto" w:before="0" w:after="0"/>
        <w:ind w:firstLine="0"/>
        <w:jc w:val="left"/>
      </w:pPr>
      <w:r>
        <w:rPr>
          <w:rFonts w:ascii="Times New Roman" w:hAnsi="Times New Roman" w:cs="Times New Roman" w:eastAsia="Times New Roman"/>
          <w:sz w:val="24"/>
        </w:rPr>
        <w:t xml:space="preserve">Cai, M., Ren, C., Xu, Y., Lau, K. K.-L., &amp; Wang, R. (2018). Investigating the relationships between Local Climate Zones and land surface temperature in an urban agglomeration.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Building and Environment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142</w:t>
      </w:r>
      <w:r>
        <w:rPr>
          <w:rFonts w:ascii="Times New Roman" w:hAnsi="Times New Roman" w:cs="Times New Roman" w:eastAsia="Times New Roman"/>
          <w:sz w:val="24"/>
        </w:rPr>
        <w:t xml:space="preserve">, 134–149. https://doi.org/10.1016/j.buildenv.2018.06.020</w:t>
      </w:r>
    </w:p>
    <w:p>
      <w:pPr>
        <w:pStyle w:val="BodyText"/>
        <w:spacing w:line="480" w:lineRule="auto" w:before="0" w:after="0"/>
        <w:ind w:firstLine="0"/>
        <w:jc w:val="left"/>
      </w:pPr>
      <w:r>
        <w:rPr>
          <w:rFonts w:ascii="Times New Roman" w:hAnsi="Times New Roman" w:cs="Times New Roman" w:eastAsia="Times New Roman"/>
          <w:sz w:val="24"/>
        </w:rPr>
        <w:t xml:space="preserve">Carlsson, G. (2009). Topology and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Bulletin of the American Mathematical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46</w:t>
      </w:r>
      <w:r>
        <w:rPr>
          <w:rFonts w:ascii="Times New Roman" w:hAnsi="Times New Roman" w:cs="Times New Roman" w:eastAsia="Times New Roman"/>
          <w:sz w:val="24"/>
        </w:rPr>
        <w:t xml:space="preserve">(2), 255–308. https://doi.org/10.1090/S0273-0979-09-01249-X</w:t>
      </w:r>
    </w:p>
    <w:p>
      <w:pPr>
        <w:pStyle w:val="BodyText"/>
        <w:spacing w:line="480" w:lineRule="auto" w:before="0" w:after="0"/>
        <w:ind w:firstLine="0"/>
        <w:jc w:val="left"/>
      </w:pPr>
      <w:r>
        <w:rPr>
          <w:rFonts w:ascii="Times New Roman" w:hAnsi="Times New Roman" w:cs="Times New Roman" w:eastAsia="Times New Roman"/>
          <w:sz w:val="24"/>
        </w:rPr>
        <w:t xml:space="preserve">Chakraborty, T., Hsu, A., Manya, D., &amp; Sheriff, G. (2019). Disproportionately higher exposure to urban heat in lower-income neighborhoods: A multi-city perspective.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Research Letters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(10), 105003. https://doi.org/10.1088/1748-9326/ab3b99</w:t>
      </w:r>
    </w:p>
    <w:p>
      <w:pPr>
        <w:pStyle w:val="BodyText"/>
        <w:spacing w:line="480" w:lineRule="auto" w:before="0" w:after="0"/>
        <w:ind w:firstLine="0"/>
        <w:jc w:val="left"/>
      </w:pPr>
      <w:r>
        <w:rPr>
          <w:rFonts w:ascii="Times New Roman" w:hAnsi="Times New Roman" w:cs="Times New Roman" w:eastAsia="Times New Roman"/>
          <w:sz w:val="24"/>
        </w:rPr>
        <w:t xml:space="preserve">Chazal, F., &amp; Michel, B. (2021). An introduction to topological data analysis: Fundamental and practical aspects for data scientists.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Frontiers in Artificial Intelligence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 667963. https://doi.org/10.3389/frai.2021.667963</w:t>
      </w:r>
    </w:p>
    <w:p>
      <w:pPr>
        <w:pStyle w:val="BodyText"/>
        <w:spacing w:line="480" w:lineRule="auto" w:before="0" w:after="0"/>
        <w:ind w:firstLine="0"/>
        <w:jc w:val="left"/>
      </w:pPr>
      <w:r>
        <w:rPr>
          <w:rFonts w:ascii="Times New Roman" w:hAnsi="Times New Roman" w:cs="Times New Roman" w:eastAsia="Times New Roman"/>
          <w:sz w:val="24"/>
        </w:rPr>
        <w:t xml:space="preserve">Cohen-Steiner, D., Edelsbrunner, H., &amp; Harer, J. (2007). Stability of persistence diagrams.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Discrete &amp; Computational Geometry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37</w:t>
      </w:r>
      <w:r>
        <w:rPr>
          <w:rFonts w:ascii="Times New Roman" w:hAnsi="Times New Roman" w:cs="Times New Roman" w:eastAsia="Times New Roman"/>
          <w:sz w:val="24"/>
        </w:rPr>
        <w:t xml:space="preserve">(1), 103–120. https://doi.org/10.1007/s00454-006-1276-5</w:t>
      </w:r>
    </w:p>
    <w:p>
      <w:pPr>
        <w:pStyle w:val="BodyText"/>
        <w:spacing w:line="480" w:lineRule="auto" w:before="0" w:after="0"/>
        <w:ind w:firstLine="0"/>
        <w:jc w:val="left"/>
      </w:pPr>
      <w:r>
        <w:rPr>
          <w:rFonts w:ascii="Times New Roman" w:hAnsi="Times New Roman" w:cs="Times New Roman" w:eastAsia="Times New Roman"/>
          <w:sz w:val="24"/>
        </w:rPr>
        <w:t xml:space="preserve">Cowell, F. A. (2011).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Measuring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(3rd ed.). Oxford University Press.</w:t>
      </w:r>
    </w:p>
    <w:p>
      <w:pPr>
        <w:pStyle w:val="BodyText"/>
        <w:spacing w:line="480" w:lineRule="auto" w:before="0" w:after="0"/>
        <w:ind w:firstLine="0"/>
        <w:jc w:val="left"/>
      </w:pPr>
      <w:r>
        <w:rPr>
          <w:rFonts w:ascii="Times New Roman" w:hAnsi="Times New Roman" w:cs="Times New Roman" w:eastAsia="Times New Roman"/>
          <w:sz w:val="24"/>
        </w:rPr>
        <w:t xml:space="preserve">Crosman, E. T., &amp; Horel, J. D. (2010). Sea and lake breezes: A review of numerical studies.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Boundary-Layer 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137</w:t>
      </w:r>
      <w:r>
        <w:rPr>
          <w:rFonts w:ascii="Times New Roman" w:hAnsi="Times New Roman" w:cs="Times New Roman" w:eastAsia="Times New Roman"/>
          <w:sz w:val="24"/>
        </w:rPr>
        <w:t xml:space="preserve">(1), 1–29. https://doi.org/10.1007/s10546-010-9517-9</w:t>
      </w:r>
    </w:p>
    <w:p>
      <w:pPr>
        <w:pStyle w:val="BodyText"/>
        <w:spacing w:line="480" w:lineRule="auto" w:before="0" w:after="0"/>
        <w:ind w:firstLine="0"/>
        <w:jc w:val="left"/>
      </w:pPr>
      <w:r>
        <w:rPr>
          <w:rFonts w:ascii="Times New Roman" w:hAnsi="Times New Roman" w:cs="Times New Roman" w:eastAsia="Times New Roman"/>
          <w:sz w:val="24"/>
        </w:rPr>
        <w:t xml:space="preserve">Demuzere, M., Bechtel, B., Middel, A., &amp; Mills, G. (2019). Mapping Europe into local climate zones.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PLOS ONE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(4), e0214474. https://doi.org/10.1371/journal.pone.0214474</w:t>
      </w:r>
    </w:p>
    <w:p>
      <w:pPr>
        <w:pStyle w:val="BodyText"/>
        <w:spacing w:line="480" w:lineRule="auto" w:before="0" w:after="0"/>
        <w:ind w:firstLine="0"/>
        <w:jc w:val="left"/>
      </w:pPr>
      <w:r>
        <w:rPr>
          <w:rFonts w:ascii="Times New Roman" w:hAnsi="Times New Roman" w:cs="Times New Roman" w:eastAsia="Times New Roman"/>
          <w:sz w:val="24"/>
        </w:rPr>
        <w:t xml:space="preserve">Demuzere, M., Hankey, S., Mills, G., Zhang, W., Lu, T., &amp; Bechtel, B. (2020). Combining expert and crowd-sourced training data to map urban form and functions for the continental US.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Scientific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7</w:t>
      </w:r>
      <w:r>
        <w:rPr>
          <w:rFonts w:ascii="Times New Roman" w:hAnsi="Times New Roman" w:cs="Times New Roman" w:eastAsia="Times New Roman"/>
          <w:sz w:val="24"/>
        </w:rPr>
        <w:t xml:space="preserve">, 264. https://doi.org/10.1038/s41597-020-00605-z</w:t>
      </w:r>
    </w:p>
    <w:p>
      <w:pPr>
        <w:pStyle w:val="BodyText"/>
        <w:spacing w:line="480" w:lineRule="auto" w:before="0" w:after="0"/>
        <w:ind w:firstLine="0"/>
        <w:jc w:val="left"/>
      </w:pPr>
      <w:r>
        <w:rPr>
          <w:rFonts w:ascii="Times New Roman" w:hAnsi="Times New Roman" w:cs="Times New Roman" w:eastAsia="Times New Roman"/>
          <w:sz w:val="24"/>
        </w:rPr>
        <w:t xml:space="preserve">Demuzere, M., Kittner, J., Martilli, A., Mills, G., Moede, C., Stewart, I. D., van Vliet, J., &amp; Bechtel, B. (2022). A global map of local climate zones to support earth system modelling and urban-scale environmental science.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Earth System Science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(8), 3835–3873. https://doi.org/10.5194/essd-14-3835-2022</w:t>
      </w:r>
    </w:p>
    <w:p>
      <w:pPr>
        <w:pStyle w:val="BodyText"/>
        <w:spacing w:line="480" w:lineRule="auto" w:before="0" w:after="0"/>
        <w:ind w:firstLine="0"/>
        <w:jc w:val="left"/>
      </w:pPr>
      <w:r>
        <w:rPr>
          <w:rFonts w:ascii="Times New Roman" w:hAnsi="Times New Roman" w:cs="Times New Roman" w:eastAsia="Times New Roman"/>
          <w:sz w:val="24"/>
        </w:rPr>
        <w:t xml:space="preserve">Di Napoli, C., Barnard, C., Prudhomme, C., Cloke, H. L., &amp; Pappenberger, F. (2021). ERA5-HEAT: A global gridded historical dataset of human thermal comfort indices from climate reanalysis.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Geoscience Data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w:t>
      </w:r>
      <w:r>
        <w:rPr>
          <w:rFonts w:ascii="Times New Roman" w:hAnsi="Times New Roman" w:cs="Times New Roman" w:eastAsia="Times New Roman"/>
          <w:sz w:val="24"/>
        </w:rPr>
        <w:t xml:space="preserve">(1), 2–10. https://doi.org/10.1002/gdj3.102</w:t>
      </w:r>
    </w:p>
    <w:p>
      <w:pPr>
        <w:pStyle w:val="BodyText"/>
        <w:spacing w:line="480" w:lineRule="auto" w:before="0" w:after="0"/>
        <w:ind w:firstLine="0"/>
        <w:jc w:val="left"/>
      </w:pPr>
      <w:r>
        <w:rPr>
          <w:rFonts w:ascii="Times New Roman" w:hAnsi="Times New Roman" w:cs="Times New Roman" w:eastAsia="Times New Roman"/>
          <w:sz w:val="24"/>
        </w:rPr>
        <w:t xml:space="preserve">Di Napoli, C., Hogan, R. J., &amp; Pappenberger, F. (2020). Mean radiant temperature from global-scale numerical weather prediction models.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64</w:t>
      </w:r>
      <w:r>
        <w:rPr>
          <w:rFonts w:ascii="Times New Roman" w:hAnsi="Times New Roman" w:cs="Times New Roman" w:eastAsia="Times New Roman"/>
          <w:sz w:val="24"/>
        </w:rPr>
        <w:t xml:space="preserve">(7), 1233–1245. https://doi.org/10.1007/s00484-020-01900-5</w:t>
      </w:r>
    </w:p>
    <w:p>
      <w:pPr>
        <w:pStyle w:val="BodyText"/>
        <w:spacing w:line="480" w:lineRule="auto" w:before="0" w:after="0"/>
        <w:ind w:firstLine="0"/>
        <w:jc w:val="left"/>
      </w:pPr>
      <w:r>
        <w:rPr>
          <w:rFonts w:ascii="Times New Roman" w:hAnsi="Times New Roman" w:cs="Times New Roman" w:eastAsia="Times New Roman"/>
          <w:sz w:val="24"/>
        </w:rPr>
        <w:t xml:space="preserve">Edelsbrunner, H., &amp; Harer, J. (2010).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Computational topology: An introduction</w:t>
      </w:r>
      <w:r>
        <w:rPr>
          <w:rFonts w:ascii="Times New Roman" w:hAnsi="Times New Roman" w:cs="Times New Roman" w:eastAsia="Times New Roman"/>
          <w:sz w:val="24"/>
        </w:rPr>
        <w:t xml:space="preserve">. American Mathematical Society.</w:t>
      </w:r>
    </w:p>
    <w:p>
      <w:pPr>
        <w:pStyle w:val="BodyText"/>
        <w:spacing w:line="480" w:lineRule="auto" w:before="0" w:after="0"/>
        <w:ind w:firstLine="0"/>
        <w:jc w:val="left"/>
      </w:pPr>
      <w:r>
        <w:rPr>
          <w:rFonts w:ascii="Times New Roman" w:hAnsi="Times New Roman" w:cs="Times New Roman" w:eastAsia="Times New Roman"/>
          <w:sz w:val="24"/>
        </w:rPr>
        <w:t xml:space="preserve">Gasparrini, A., Guo, Y., Hashizume, M., Lavigne, E., Zanobetti, A., Schwartz, J., Tobias, A., Tong, S., Rocklöv, J., Forsberg, B., Leone, M., De Sario, M., Bell, M. L., Guo, Y.-L. L., Wu, C., Kan, H., Yi, S.-M., de Sousa Zanotti Stagliorio Coelho, M., Saldiva, P. H. N., Honda, Y., Kim, H., &amp; Armstrong, B. (2015). Mortality risk attributable to high and low ambient temperature: A multicountry observational study.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Lancet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386</w:t>
      </w:r>
      <w:r>
        <w:rPr>
          <w:rFonts w:ascii="Times New Roman" w:hAnsi="Times New Roman" w:cs="Times New Roman" w:eastAsia="Times New Roman"/>
          <w:sz w:val="24"/>
        </w:rPr>
        <w:t xml:space="preserve">(9991), 369–375. https://doi.org/10.1016/S0140-6736(14)62114-0</w:t>
      </w:r>
    </w:p>
    <w:p>
      <w:pPr>
        <w:pStyle w:val="BodyText"/>
        <w:spacing w:line="480" w:lineRule="auto" w:before="0" w:after="0"/>
        <w:ind w:firstLine="0"/>
        <w:jc w:val="left"/>
      </w:pPr>
      <w:r>
        <w:rPr>
          <w:rFonts w:ascii="Times New Roman" w:hAnsi="Times New Roman" w:cs="Times New Roman" w:eastAsia="Times New Roman"/>
          <w:sz w:val="24"/>
        </w:rPr>
        <w:t xml:space="preserve">Hersbach, H., Bell, B., Berrisford, P., Hirahara, S., Horányi, A., Muñoz-Sabater, J., Nicolas, J., Peubey, C., Radu, R., Schepers, D., Simmons, A., Soci, C., Abdalla, S., Abellan, X., Balsamo, G., Bechtold, P., Biavati, G., Bidlot, J., Bonavita, M., … Thépaut, J.-N. (2020). The ERA5 global reanalysis.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Quarterly Journal of the Royal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146</w:t>
      </w:r>
      <w:r>
        <w:rPr>
          <w:rFonts w:ascii="Times New Roman" w:hAnsi="Times New Roman" w:cs="Times New Roman" w:eastAsia="Times New Roman"/>
          <w:sz w:val="24"/>
        </w:rPr>
        <w:t xml:space="preserve">(730), 1999–2049. https://doi.org/10.1002/qj.3803</w:t>
      </w:r>
    </w:p>
    <w:p>
      <w:pPr>
        <w:pStyle w:val="BodyText"/>
        <w:spacing w:line="480" w:lineRule="auto" w:before="0" w:after="0"/>
        <w:ind w:firstLine="0"/>
        <w:jc w:val="left"/>
      </w:pPr>
      <w:r>
        <w:rPr>
          <w:rFonts w:ascii="Times New Roman" w:hAnsi="Times New Roman" w:cs="Times New Roman" w:eastAsia="Times New Roman"/>
          <w:sz w:val="24"/>
        </w:rPr>
        <w:t xml:space="preserve">Hoyer, S., &amp; Hamman, J. (2017). xarray: N-D labeled arrays and datasets in Python.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Open Research Software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w:t>
      </w:r>
      <w:r>
        <w:rPr>
          <w:rFonts w:ascii="Times New Roman" w:hAnsi="Times New Roman" w:cs="Times New Roman" w:eastAsia="Times New Roman"/>
          <w:sz w:val="24"/>
        </w:rPr>
        <w:t xml:space="preserve">(1), 10. https://doi.org/10.5334/jors.148</w:t>
      </w:r>
    </w:p>
    <w:p>
      <w:pPr>
        <w:pStyle w:val="BodyText"/>
        <w:spacing w:line="480" w:lineRule="auto" w:before="0" w:after="0"/>
        <w:ind w:firstLine="0"/>
        <w:jc w:val="left"/>
      </w:pPr>
      <w:r>
        <w:rPr>
          <w:rFonts w:ascii="Times New Roman" w:hAnsi="Times New Roman" w:cs="Times New Roman" w:eastAsia="Times New Roman"/>
          <w:sz w:val="24"/>
        </w:rPr>
        <w:t xml:space="preserve">Hsu, A., Sheriff, G., Chakraborty, T., &amp; Manya, D. (2021). Disproportionate exposure to urban heat island intensity across major US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 Communications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12</w:t>
      </w:r>
      <w:r>
        <w:rPr>
          <w:rFonts w:ascii="Times New Roman" w:hAnsi="Times New Roman" w:cs="Times New Roman" w:eastAsia="Times New Roman"/>
          <w:sz w:val="24"/>
        </w:rPr>
        <w:t xml:space="preserve">(1), 2721. https://doi.org/10.1038/s41467-021-22799-5</w:t>
      </w:r>
    </w:p>
    <w:p>
      <w:pPr>
        <w:pStyle w:val="BodyText"/>
        <w:spacing w:line="480" w:lineRule="auto" w:before="0" w:after="0"/>
        <w:ind w:firstLine="0"/>
        <w:jc w:val="left"/>
      </w:pPr>
      <w:r>
        <w:rPr>
          <w:rFonts w:ascii="Times New Roman" w:hAnsi="Times New Roman" w:cs="Times New Roman" w:eastAsia="Times New Roman"/>
          <w:sz w:val="24"/>
        </w:rPr>
        <w:t xml:space="preserve">Huang, J., Liu, X., Wang, Y., &amp; Chen, Z. (2026). Hybrid WRF-ML modeling for characterizing inter- and intra-LCZ microclimate variability: A case study of Shenzhen, China.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Sustainable Cities and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136</w:t>
      </w:r>
      <w:r>
        <w:rPr>
          <w:rFonts w:ascii="Times New Roman" w:hAnsi="Times New Roman" w:cs="Times New Roman" w:eastAsia="Times New Roman"/>
          <w:sz w:val="24"/>
        </w:rPr>
        <w:t xml:space="preserve">, 107099.</w:t>
      </w:r>
    </w:p>
    <w:p>
      <w:pPr>
        <w:pStyle w:val="BodyText"/>
        <w:spacing w:line="480" w:lineRule="auto" w:before="0" w:after="0"/>
        <w:ind w:firstLine="0"/>
        <w:jc w:val="left"/>
      </w:pPr>
      <w:r>
        <w:rPr>
          <w:rFonts w:ascii="Times New Roman" w:hAnsi="Times New Roman" w:cs="Times New Roman" w:eastAsia="Times New Roman"/>
          <w:sz w:val="24"/>
        </w:rPr>
        <w:t xml:space="preserve">Jendritzky, G., de Dear, R., &amp; Havenith, G. (2012). UTCI — Why another thermal index?</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56</w:t>
      </w:r>
      <w:r>
        <w:rPr>
          <w:rFonts w:ascii="Times New Roman" w:hAnsi="Times New Roman" w:cs="Times New Roman" w:eastAsia="Times New Roman"/>
          <w:sz w:val="24"/>
        </w:rPr>
        <w:t xml:space="preserve">(3), 421–428. https://doi.org/10.1007/s00484-011-0513-7</w:t>
      </w:r>
    </w:p>
    <w:p>
      <w:pPr>
        <w:pStyle w:val="BodyText"/>
        <w:spacing w:line="480" w:lineRule="auto" w:before="0" w:after="0"/>
        <w:ind w:firstLine="0"/>
        <w:jc w:val="left"/>
      </w:pPr>
      <w:r>
        <w:rPr>
          <w:rFonts w:ascii="Times New Roman" w:hAnsi="Times New Roman" w:cs="Times New Roman" w:eastAsia="Times New Roman"/>
          <w:sz w:val="24"/>
        </w:rPr>
        <w:t xml:space="preserve">Liu, L., Chen, Y., Yu, Z., &amp; Wang, K. (2026). Quantifying the cooling effects of multi-scale urban blue-green spaces on surrounding local climate zones in hot and humid climatic areas.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Sustainable Cities and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141</w:t>
      </w:r>
      <w:r>
        <w:rPr>
          <w:rFonts w:ascii="Times New Roman" w:hAnsi="Times New Roman" w:cs="Times New Roman" w:eastAsia="Times New Roman"/>
          <w:sz w:val="24"/>
        </w:rPr>
        <w:t xml:space="preserve">, 107292.</w:t>
      </w:r>
    </w:p>
    <w:p>
      <w:pPr>
        <w:pStyle w:val="BodyText"/>
        <w:spacing w:line="480" w:lineRule="auto" w:before="0" w:after="0"/>
        <w:ind w:firstLine="0"/>
        <w:jc w:val="left"/>
      </w:pPr>
      <w:r>
        <w:rPr>
          <w:rFonts w:ascii="Times New Roman" w:hAnsi="Times New Roman" w:cs="Times New Roman" w:eastAsia="Times New Roman"/>
          <w:sz w:val="24"/>
        </w:rPr>
        <w:t xml:space="preserve">Luo, Y. (2026).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WUDAPT-FUSE: A workstation-runnable framework for testing whether building morphology, topology, or geographic position governs within-class urban heat exposure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(Version 1.0.0) [Computer software]. Zenodo. https://doi.org/10.5281/zenodo.20080489</w:t>
      </w:r>
    </w:p>
    <w:p>
      <w:pPr>
        <w:pStyle w:val="BodyText"/>
        <w:spacing w:line="480" w:lineRule="auto" w:before="0" w:after="0"/>
        <w:ind w:firstLine="0"/>
        <w:jc w:val="left"/>
      </w:pPr>
      <w:r>
        <w:rPr>
          <w:rFonts w:ascii="Times New Roman" w:hAnsi="Times New Roman" w:cs="Times New Roman" w:eastAsia="Times New Roman"/>
          <w:sz w:val="24"/>
        </w:rPr>
        <w:t xml:space="preserve">Lloyd, S. P. (1982). Least squares quantization in PCM.</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IEEE Transactions on Information Theory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28</w:t>
      </w:r>
      <w:r>
        <w:rPr>
          <w:rFonts w:ascii="Times New Roman" w:hAnsi="Times New Roman" w:cs="Times New Roman" w:eastAsia="Times New Roman"/>
          <w:sz w:val="24"/>
        </w:rPr>
        <w:t xml:space="preserve">(2), 129–137. https://doi.org/10.1109/TIT.1982.1056489</w:t>
      </w:r>
    </w:p>
    <w:p>
      <w:pPr>
        <w:pStyle w:val="BodyText"/>
        <w:spacing w:line="480" w:lineRule="auto" w:before="0" w:after="0"/>
        <w:ind w:firstLine="0"/>
        <w:jc w:val="left"/>
      </w:pPr>
      <w:r>
        <w:rPr>
          <w:rFonts w:ascii="Times New Roman" w:hAnsi="Times New Roman" w:cs="Times New Roman" w:eastAsia="Times New Roman"/>
          <w:sz w:val="24"/>
        </w:rPr>
        <w:t xml:space="preserve">Manoli, G., Fatichi, S., Schläpfer, M., Yu, K., Crowther, T. W., Meili, N., Burlando, P., Katul, G. G., &amp; Bou-Zeid, E. (2019). Magnitude of urban heat islands largely explained by climate and population.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573</w:t>
      </w:r>
      <w:r>
        <w:rPr>
          <w:rFonts w:ascii="Times New Roman" w:hAnsi="Times New Roman" w:cs="Times New Roman" w:eastAsia="Times New Roman"/>
          <w:sz w:val="24"/>
        </w:rPr>
        <w:t xml:space="preserve">(7772), 55–60. https://doi.org/10.1038/s41586-019-1512-9</w:t>
      </w:r>
    </w:p>
    <w:p>
      <w:pPr>
        <w:pStyle w:val="BodyText"/>
        <w:spacing w:line="480" w:lineRule="auto" w:before="0" w:after="0"/>
        <w:ind w:firstLine="0"/>
        <w:jc w:val="left"/>
      </w:pPr>
      <w:r>
        <w:rPr>
          <w:rFonts w:ascii="Times New Roman" w:hAnsi="Times New Roman" w:cs="Times New Roman" w:eastAsia="Times New Roman"/>
          <w:sz w:val="24"/>
        </w:rPr>
        <w:t xml:space="preserve">Maria, C., Boissonnat, J.-D., Glisse, M., &amp; Yvinec, M. (2014). The GUDHI library: Simplicial complexes and persistent homology. In H. Hong &amp; C. Yap (Eds.),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Mathematical software — ICMS 2014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(Lecture Notes in Computer Science, Vol. 8592, pp. 167–174). Springer. https://doi.org/10.1007/978-3-662-44199-2_28</w:t>
      </w:r>
    </w:p>
    <w:p>
      <w:pPr>
        <w:pStyle w:val="BodyText"/>
        <w:spacing w:line="480" w:lineRule="auto" w:before="0" w:after="0"/>
        <w:ind w:firstLine="0"/>
        <w:jc w:val="left"/>
      </w:pPr>
      <w:r>
        <w:rPr>
          <w:rFonts w:ascii="Times New Roman" w:hAnsi="Times New Roman" w:cs="Times New Roman" w:eastAsia="Times New Roman"/>
          <w:sz w:val="24"/>
        </w:rPr>
        <w:t xml:space="preserve">Miller, S. T. K., Keim, B. D., Talbot, R. W., &amp; Mao, H. (2003). Sea breeze: Structure, forecasting, and impacts.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Reviews of Geophysics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41</w:t>
      </w:r>
      <w:r>
        <w:rPr>
          <w:rFonts w:ascii="Times New Roman" w:hAnsi="Times New Roman" w:cs="Times New Roman" w:eastAsia="Times New Roman"/>
          <w:sz w:val="24"/>
        </w:rPr>
        <w:t xml:space="preserve">(3), 1011. https://doi.org/10.1029/2003RG000124</w:t>
      </w:r>
    </w:p>
    <w:p>
      <w:pPr>
        <w:pStyle w:val="BodyText"/>
        <w:spacing w:line="480" w:lineRule="auto" w:before="0" w:after="0"/>
        <w:ind w:firstLine="0"/>
        <w:jc w:val="left"/>
      </w:pPr>
      <w:r>
        <w:rPr>
          <w:rFonts w:ascii="Times New Roman" w:hAnsi="Times New Roman" w:cs="Times New Roman" w:eastAsia="Times New Roman"/>
          <w:sz w:val="24"/>
        </w:rPr>
        <w:t xml:space="preserve">Mitchell, B. C., &amp; Chakraborty, J. (2015). Landscapes of thermal inequity: Disproportionate exposure to urban heat in the three largest US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Research Letters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w:t>
      </w:r>
      <w:r>
        <w:rPr>
          <w:rFonts w:ascii="Times New Roman" w:hAnsi="Times New Roman" w:cs="Times New Roman" w:eastAsia="Times New Roman"/>
          <w:sz w:val="24"/>
        </w:rPr>
        <w:t xml:space="preserve">(11), 115005. https://doi.org/10.1088/1748-9326/10/11/115005</w:t>
      </w:r>
    </w:p>
    <w:p>
      <w:pPr>
        <w:pStyle w:val="BodyText"/>
        <w:spacing w:line="480" w:lineRule="auto" w:before="0" w:after="0"/>
        <w:ind w:firstLine="0"/>
        <w:jc w:val="left"/>
      </w:pPr>
      <w:r>
        <w:rPr>
          <w:rFonts w:ascii="Times New Roman" w:hAnsi="Times New Roman" w:cs="Times New Roman" w:eastAsia="Times New Roman"/>
          <w:sz w:val="24"/>
        </w:rPr>
        <w:t xml:space="preserve">Mookherjee, D., &amp; Shorrocks, A. (1982). A decomposition analysis of the trend in UK income inequality.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Economic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92</w:t>
      </w:r>
      <w:r>
        <w:rPr>
          <w:rFonts w:ascii="Times New Roman" w:hAnsi="Times New Roman" w:cs="Times New Roman" w:eastAsia="Times New Roman"/>
          <w:sz w:val="24"/>
        </w:rPr>
        <w:t xml:space="preserve">(368), 886–902. https://doi.org/10.2307/2232673</w:t>
      </w:r>
    </w:p>
    <w:p>
      <w:pPr>
        <w:pStyle w:val="BodyText"/>
        <w:spacing w:line="480" w:lineRule="auto" w:before="0" w:after="0"/>
        <w:ind w:firstLine="0"/>
        <w:jc w:val="left"/>
      </w:pPr>
      <w:r>
        <w:rPr>
          <w:rFonts w:ascii="Times New Roman" w:hAnsi="Times New Roman" w:cs="Times New Roman" w:eastAsia="Times New Roman"/>
          <w:sz w:val="24"/>
        </w:rPr>
        <w:t xml:space="preserve">Oke, T. R. (1982). The energetic basis of the urban heat island.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Quarterly Journal of the Royal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108</w:t>
      </w:r>
      <w:r>
        <w:rPr>
          <w:rFonts w:ascii="Times New Roman" w:hAnsi="Times New Roman" w:cs="Times New Roman" w:eastAsia="Times New Roman"/>
          <w:sz w:val="24"/>
        </w:rPr>
        <w:t xml:space="preserve">(455), 1–24. https://doi.org/10.1002/qj.49710845502</w:t>
      </w:r>
    </w:p>
    <w:p>
      <w:pPr>
        <w:pStyle w:val="BodyText"/>
        <w:spacing w:line="480" w:lineRule="auto" w:before="0" w:after="0"/>
        <w:ind w:firstLine="0"/>
        <w:jc w:val="left"/>
      </w:pPr>
      <w:r>
        <w:rPr>
          <w:rFonts w:ascii="Times New Roman" w:hAnsi="Times New Roman" w:cs="Times New Roman" w:eastAsia="Times New Roman"/>
          <w:sz w:val="24"/>
        </w:rPr>
        <w:t xml:space="preserve">Oke, T. R., Mills, G., Christen, A., &amp; Voogt, J. A. (2017).</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Urban climates</w:t>
      </w:r>
      <w:r>
        <w:rPr>
          <w:rFonts w:ascii="Times New Roman" w:hAnsi="Times New Roman" w:cs="Times New Roman" w:eastAsia="Times New Roman"/>
          <w:sz w:val="24"/>
        </w:rPr>
        <w:t xml:space="preserve">. Cambridge University Press. https://doi.org/10.1017/9781139016476</w:t>
      </w:r>
    </w:p>
    <w:p>
      <w:pPr>
        <w:pStyle w:val="BodyText"/>
        <w:spacing w:line="480" w:lineRule="auto" w:before="0" w:after="0"/>
        <w:ind w:firstLine="0"/>
        <w:jc w:val="left"/>
      </w:pPr>
      <w:r>
        <w:rPr>
          <w:rFonts w:ascii="Times New Roman" w:hAnsi="Times New Roman" w:cs="Times New Roman" w:eastAsia="Times New Roman"/>
          <w:sz w:val="24"/>
        </w:rPr>
        <w:t xml:space="preserve">Patz, J. A., Campbell-Lendrum, D., Holloway, T., &amp; Foley, J. A. (2005). Impact of regional climate change on human health.</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438</w:t>
      </w:r>
      <w:r>
        <w:rPr>
          <w:rFonts w:ascii="Times New Roman" w:hAnsi="Times New Roman" w:cs="Times New Roman" w:eastAsia="Times New Roman"/>
          <w:sz w:val="24"/>
        </w:rPr>
        <w:t xml:space="preserve">(7066), 310–317. https://doi.org/10.1038/nature04188</w:t>
      </w:r>
    </w:p>
    <w:p>
      <w:pPr>
        <w:pStyle w:val="BodyText"/>
        <w:spacing w:line="480" w:lineRule="auto" w:before="0" w:after="0"/>
        <w:ind w:firstLine="0"/>
        <w:jc w:val="left"/>
      </w:pPr>
      <w:r>
        <w:rPr>
          <w:rFonts w:ascii="Times New Roman" w:hAnsi="Times New Roman" w:cs="Times New Roman" w:eastAsia="Times New Roman"/>
          <w:sz w:val="24"/>
        </w:rPr>
        <w:t xml:space="preserve">Pedregosa, F., Varoquaux, G., Gramfort, A., Michel, V., Thirion, B., Grisel, O., Blondel, M., Prettenhofer, P., Weiss, R., Dubourg, V., Vanderplas, J., Passos, A., Cournapeau, D., Brucher, M., Perrot, M., &amp; Duchesnay, É. (2011). Scikit-learn: Machine learning in Python.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Machine Learning Research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12</w:t>
      </w:r>
      <w:r>
        <w:rPr>
          <w:rFonts w:ascii="Times New Roman" w:hAnsi="Times New Roman" w:cs="Times New Roman" w:eastAsia="Times New Roman"/>
          <w:sz w:val="24"/>
        </w:rPr>
        <w:t xml:space="preserve">, 2825–2830.</w:t>
      </w:r>
    </w:p>
    <w:p>
      <w:pPr>
        <w:pStyle w:val="BodyText"/>
        <w:spacing w:line="480" w:lineRule="auto" w:before="0" w:after="0"/>
        <w:ind w:firstLine="0"/>
        <w:jc w:val="left"/>
      </w:pPr>
      <w:r>
        <w:rPr>
          <w:rFonts w:ascii="Times New Roman" w:hAnsi="Times New Roman" w:cs="Times New Roman" w:eastAsia="Times New Roman"/>
          <w:sz w:val="24"/>
        </w:rPr>
        <w:t xml:space="preserve">Pyatt, G. (1976). On the interpretation and disaggregation of Gini coefficients.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Economic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(342), 243–255. https://doi.org/10.2307/2230745</w:t>
      </w:r>
    </w:p>
    <w:p>
      <w:pPr>
        <w:pStyle w:val="BodyText"/>
        <w:spacing w:line="480" w:lineRule="auto" w:before="0" w:after="0"/>
        <w:ind w:firstLine="0"/>
        <w:jc w:val="left"/>
      </w:pPr>
      <w:r>
        <w:rPr>
          <w:rFonts w:ascii="Times New Roman" w:hAnsi="Times New Roman" w:cs="Times New Roman" w:eastAsia="Times New Roman"/>
          <w:sz w:val="24"/>
        </w:rPr>
        <w:t xml:space="preserve">Romanello, M., Di Napoli, C., Drummond, P., Green, C., Kennard, H., Lampard, P., Scamman, D., Arnell, N., Ayeb-Karlsson, S., Ford, L. B., Belesova, K., Bowen, K., Cai, W., Callaghan, M., Campbell-Lendrum, D., Chambers, J., van Daalen, K. R., Dalin, C., Dasandi, N., … Costello, A. (2022). The 2022 report of the Lancet Countdown on health and climate change: Health at the mercy of fossil fuels.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Lancet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400</w:t>
      </w:r>
      <w:r>
        <w:rPr>
          <w:rFonts w:ascii="Times New Roman" w:hAnsi="Times New Roman" w:cs="Times New Roman" w:eastAsia="Times New Roman"/>
          <w:sz w:val="24"/>
        </w:rPr>
        <w:t xml:space="preserve">(10363), 1619–1654. https://doi.org/10.1016/S0140-6736(22)01540-9</w:t>
      </w:r>
    </w:p>
    <w:p>
      <w:pPr>
        <w:pStyle w:val="BodyText"/>
        <w:spacing w:line="480" w:lineRule="auto" w:before="0" w:after="0"/>
        <w:ind w:firstLine="0"/>
        <w:jc w:val="left"/>
      </w:pPr>
      <w:r>
        <w:rPr>
          <w:rFonts w:ascii="Times New Roman" w:hAnsi="Times New Roman" w:cs="Times New Roman" w:eastAsia="Times New Roman"/>
          <w:sz w:val="24"/>
        </w:rPr>
        <w:t xml:space="preserve">Rousseeuw, P. J. (1987). Silhouettes: A graphical aid to the interpretation and validation of cluster 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Computational and Applied Mathematics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20</w:t>
      </w:r>
      <w:r>
        <w:rPr>
          <w:rFonts w:ascii="Times New Roman" w:hAnsi="Times New Roman" w:cs="Times New Roman" w:eastAsia="Times New Roman"/>
          <w:sz w:val="24"/>
        </w:rPr>
        <w:t xml:space="preserve">, 53–65. https://doi.org/10.1016/0377-0427(87)90125-7</w:t>
      </w:r>
    </w:p>
    <w:p>
      <w:pPr>
        <w:pStyle w:val="BodyText"/>
        <w:spacing w:line="480" w:lineRule="auto" w:before="0" w:after="0"/>
        <w:ind w:firstLine="0"/>
        <w:jc w:val="left"/>
      </w:pPr>
      <w:r>
        <w:rPr>
          <w:rFonts w:ascii="Times New Roman" w:hAnsi="Times New Roman" w:cs="Times New Roman" w:eastAsia="Times New Roman"/>
          <w:sz w:val="24"/>
        </w:rPr>
        <w:t xml:space="preserve">Stevens, F. R., Gaughan, A. E., Linard, C., &amp; Tatem, A. J. (2015). Disaggregating census data for population mapping using Random Forests with remotely-sensed and ancillary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PLOS ONE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w:t>
      </w:r>
      <w:r>
        <w:rPr>
          <w:rFonts w:ascii="Times New Roman" w:hAnsi="Times New Roman" w:cs="Times New Roman" w:eastAsia="Times New Roman"/>
          <w:sz w:val="24"/>
        </w:rPr>
        <w:t xml:space="preserve">(2), e0107042. https://doi.org/10.1371/journal.pone.0107042</w:t>
      </w:r>
    </w:p>
    <w:p>
      <w:pPr>
        <w:pStyle w:val="BodyText"/>
        <w:spacing w:line="480" w:lineRule="auto" w:before="0" w:after="0"/>
        <w:ind w:firstLine="0"/>
        <w:jc w:val="left"/>
      </w:pPr>
      <w:r>
        <w:rPr>
          <w:rFonts w:ascii="Times New Roman" w:hAnsi="Times New Roman" w:cs="Times New Roman" w:eastAsia="Times New Roman"/>
          <w:sz w:val="24"/>
        </w:rPr>
        <w:t xml:space="preserve">Stewart, I. D., &amp; Oke, T. R. (2012). Local climate zones for urban temperature studies.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Bulletin of the American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93</w:t>
      </w:r>
      <w:r>
        <w:rPr>
          <w:rFonts w:ascii="Times New Roman" w:hAnsi="Times New Roman" w:cs="Times New Roman" w:eastAsia="Times New Roman"/>
          <w:sz w:val="24"/>
        </w:rPr>
        <w:t xml:space="preserve">(12), 1879–1900. https://doi.org/10.1175/BAMS-D-11-00019.1</w:t>
      </w:r>
    </w:p>
    <w:p>
      <w:pPr>
        <w:pStyle w:val="BodyText"/>
        <w:spacing w:line="480" w:lineRule="auto" w:before="0" w:after="0"/>
        <w:ind w:firstLine="0"/>
        <w:jc w:val="left"/>
      </w:pPr>
      <w:r>
        <w:rPr>
          <w:rFonts w:ascii="Times New Roman" w:hAnsi="Times New Roman" w:cs="Times New Roman" w:eastAsia="Times New Roman"/>
          <w:sz w:val="24"/>
        </w:rPr>
        <w:t xml:space="preserve">Stone, B., Jr., Hess, J. J., &amp; Frumkin, H. (2010). Urban form and extreme heat events: Are sprawling cities more vulnerable to climate change than compact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Health Perspectives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118</w:t>
      </w:r>
      <w:r>
        <w:rPr>
          <w:rFonts w:ascii="Times New Roman" w:hAnsi="Times New Roman" w:cs="Times New Roman" w:eastAsia="Times New Roman"/>
          <w:sz w:val="24"/>
        </w:rPr>
        <w:t xml:space="preserve">(10), 1425–1428. https://doi.org/10.1289/ehp.0901879</w:t>
      </w:r>
    </w:p>
    <w:p>
      <w:pPr>
        <w:pStyle w:val="BodyText"/>
        <w:spacing w:line="480" w:lineRule="auto" w:before="0" w:after="0"/>
        <w:ind w:firstLine="0"/>
        <w:jc w:val="left"/>
      </w:pPr>
      <w:r>
        <w:rPr>
          <w:rFonts w:ascii="Times New Roman" w:hAnsi="Times New Roman" w:cs="Times New Roman" w:eastAsia="Times New Roman"/>
          <w:sz w:val="24"/>
        </w:rPr>
        <w:t xml:space="preserve">Tatem, A. J. (2017). WorldPop, open data for spatial demography.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Scientific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 170004. https://doi.org/10.1038/sdata.2017.4</w:t>
      </w:r>
    </w:p>
    <w:p>
      <w:pPr>
        <w:pStyle w:val="BodyText"/>
        <w:spacing w:line="480" w:lineRule="auto" w:before="0" w:after="0"/>
        <w:ind w:firstLine="0"/>
        <w:jc w:val="left"/>
      </w:pPr>
      <w:r>
        <w:rPr>
          <w:rFonts w:ascii="Times New Roman" w:hAnsi="Times New Roman" w:cs="Times New Roman" w:eastAsia="Times New Roman"/>
          <w:sz w:val="24"/>
        </w:rPr>
        <w:t xml:space="preserve">Tuholske, C., Caylor, K., Funk, C., Verdin, A., Sweeney, S., Grace, K., Peterson, P., &amp; Evans, T. (2021). Global urban population exposure to extreme heat.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Proceedings of the National Academy of Sciences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118</w:t>
      </w:r>
      <w:r>
        <w:rPr>
          <w:rFonts w:ascii="Times New Roman" w:hAnsi="Times New Roman" w:cs="Times New Roman" w:eastAsia="Times New Roman"/>
          <w:sz w:val="24"/>
        </w:rPr>
        <w:t xml:space="preserve">(41), e2024792118. https://doi.org/10.1073/pnas.2024792118</w:t>
      </w:r>
    </w:p>
    <w:p>
      <w:pPr>
        <w:pStyle w:val="BodyText"/>
        <w:spacing w:line="480" w:lineRule="auto" w:before="0" w:after="0"/>
        <w:ind w:firstLine="0"/>
        <w:jc w:val="left"/>
      </w:pPr>
      <w:r>
        <w:rPr>
          <w:rFonts w:ascii="Times New Roman" w:hAnsi="Times New Roman" w:cs="Times New Roman" w:eastAsia="Times New Roman"/>
          <w:sz w:val="24"/>
        </w:rPr>
        <w:t xml:space="preserve">Voogt, J. A., &amp; Oke, T. R. (2003). Thermal remote sensing of urban climates.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Remote Sensing of Environment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(3), 370–384. https://doi.org/10.1016/S0034-4257(03)00079-8</w:t>
      </w:r>
    </w:p>
    <w:p>
      <w:pPr>
        <w:pStyle w:val="BodyText"/>
        <w:spacing w:line="480" w:lineRule="auto" w:before="0" w:after="0"/>
        <w:ind w:firstLine="0"/>
        <w:jc w:val="left"/>
      </w:pPr>
      <w:r>
        <w:rPr>
          <w:rFonts w:ascii="Times New Roman" w:hAnsi="Times New Roman" w:cs="Times New Roman" w:eastAsia="Times New Roman"/>
          <w:sz w:val="24"/>
        </w:rPr>
        <w:t xml:space="preserve">Wasserman, L. (2018). Topological data 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Annual Review of Statistics and Its Application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w:t>
      </w:r>
      <w:r>
        <w:rPr>
          <w:rFonts w:ascii="Times New Roman" w:hAnsi="Times New Roman" w:cs="Times New Roman" w:eastAsia="Times New Roman"/>
          <w:sz w:val="24"/>
        </w:rPr>
        <w:t xml:space="preserve">(1), 501–532. https://doi.org/10.1146/annurev-statistics-031017-100045</w:t>
      </w:r>
    </w:p>
    <w:p>
      <w:pPr>
        <w:pStyle w:val="BodyText"/>
        <w:spacing w:line="480" w:lineRule="auto" w:before="0" w:after="0"/>
        <w:ind w:firstLine="0"/>
        <w:jc w:val="left"/>
      </w:pPr>
      <w:r>
        <w:rPr>
          <w:rFonts w:ascii="Times New Roman" w:hAnsi="Times New Roman" w:cs="Times New Roman" w:eastAsia="Times New Roman"/>
          <w:sz w:val="24"/>
        </w:rPr>
        <w:t xml:space="preserve">Whiteman, C. D. (2000).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Mountain meteorology: Fundamentals and applications</w:t>
      </w:r>
      <w:r>
        <w:rPr>
          <w:rFonts w:ascii="Times New Roman" w:hAnsi="Times New Roman" w:cs="Times New Roman" w:eastAsia="Times New Roman"/>
          <w:sz w:val="24"/>
        </w:rPr>
        <w:t xml:space="preserve">. Oxford University Press.</w:t>
      </w:r>
    </w:p>
    <w:p>
      <w:pPr>
        <w:pStyle w:val="BodyText"/>
        <w:spacing w:line="480" w:lineRule="auto" w:before="0" w:after="0"/>
        <w:ind w:firstLine="0"/>
        <w:jc w:val="left"/>
      </w:pPr>
      <w:r>
        <w:rPr>
          <w:rFonts w:ascii="Times New Roman" w:hAnsi="Times New Roman" w:cs="Times New Roman" w:eastAsia="Times New Roman"/>
          <w:sz w:val="24"/>
        </w:rPr>
        <w:t xml:space="preserve">Yitzhaki, S. (1979). Relative deprivation and the Gini coefficient.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Quarterly Journal of Economics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93</w:t>
      </w:r>
      <w:r>
        <w:rPr>
          <w:rFonts w:ascii="Times New Roman" w:hAnsi="Times New Roman" w:cs="Times New Roman" w:eastAsia="Times New Roman"/>
          <w:sz w:val="24"/>
        </w:rPr>
        <w:t xml:space="preserve">(2), 321–324. https://doi.org/10.2307/1883197</w:t>
      </w:r>
    </w:p>
    <w:p>
      <w:pPr>
        <w:pStyle w:val="BodyText"/>
        <w:spacing w:line="480" w:lineRule="auto" w:before="0" w:after="0"/>
        <w:ind w:firstLine="0"/>
        <w:jc w:val="left"/>
      </w:pPr>
      <w:r>
        <w:rPr>
          <w:rFonts w:ascii="Times New Roman" w:hAnsi="Times New Roman" w:cs="Times New Roman" w:eastAsia="Times New Roman"/>
          <w:sz w:val="24"/>
        </w:rPr>
        <w:t xml:space="preserve">Yitzhaki, S. (1994). Economic distance and overlapping of distributions.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Econometrics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61</w:t>
      </w:r>
      <w:r>
        <w:rPr>
          <w:rFonts w:ascii="Times New Roman" w:hAnsi="Times New Roman" w:cs="Times New Roman" w:eastAsia="Times New Roman"/>
          <w:sz w:val="24"/>
        </w:rPr>
        <w:t xml:space="preserve">(1), 147–159. https://doi.org/10.1016/0304-4076(94)90081-7</w:t>
      </w:r>
    </w:p>
    <w:p>
      <w:pPr>
        <w:pStyle w:val="BodyText"/>
        <w:spacing w:line="480" w:lineRule="auto" w:before="0" w:after="0"/>
        <w:ind w:firstLine="0"/>
        <w:jc w:val="left"/>
      </w:pPr>
      <w:r>
        <w:rPr>
          <w:rFonts w:ascii="Times New Roman" w:hAnsi="Times New Roman" w:cs="Times New Roman" w:eastAsia="Times New Roman"/>
          <w:sz w:val="24"/>
        </w:rPr>
        <w:t xml:space="preserve">Zhao, L., Lee, X., Smith, R. B., &amp; Oleson, K. (2014). Strong contributions of local background climate to urban heat islands.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511</w:t>
      </w:r>
      <w:r>
        <w:rPr>
          <w:rFonts w:ascii="Times New Roman" w:hAnsi="Times New Roman" w:cs="Times New Roman" w:eastAsia="Times New Roman"/>
          <w:sz w:val="24"/>
        </w:rPr>
        <w:t xml:space="preserve">(7508), 216–219. https://doi.org/10.1038/nature13462</w:t>
      </w:r>
    </w:p>
    <w:bookmarkEnd w:id="61"/>
    <w:bookmarkStart w:id="72" w:name="tables"/>
    <w:p>
      <w:pPr>
        <w:pStyle w:val="Heading1"/>
        <w:spacing w:line="480" w:lineRule="auto" w:before="480" w:after="240"/>
        <w:ind w:firstLine="0"/>
        <w:jc w:val="left"/>
      </w:pPr>
      <w:r>
        <w:rPr>
          <w:rFonts w:ascii="Times New Roman" w:hAnsi="Times New Roman" w:cs="Times New Roman" w:eastAsia="Times New Roman"/>
          <w:b/>
          <w:sz w:val="24"/>
        </w:rPr>
        <w:t xml:space="preserve">Tables</w:t>
      </w:r>
    </w:p>
    <w:bookmarkStart w:id="62" w:name="X64e6fac8c10e637016f37b5bd063c8fdd684140"/>
    <w:p>
      <w:pPr>
        <w:pStyle w:val="Heading2"/>
        <w:spacing w:line="480" w:lineRule="auto" w:before="360" w:after="180"/>
        <w:ind w:firstLine="0"/>
        <w:jc w:val="left"/>
      </w:pPr>
      <w:r>
        <w:rPr>
          <w:rFonts w:ascii="Times New Roman" w:hAnsi="Times New Roman" w:cs="Times New Roman" w:eastAsia="Times New Roman"/>
          <w:b/>
          <w:sz w:val="24"/>
        </w:rPr>
        <w:t xml:space="preserve">Table 1. Population-weighted Gini coefficients for thermal exposure metrics (Shenzhen, July 2020).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Metric</w:t>
            </w:r>
          </w:p>
        </w:tc>
        <w:tc>
          <w:tcPr/>
          <w:p>
            <w:pPr>
              <w:pStyle w:val="Compact"/>
              <w:spacing w:line="276" w:lineRule="auto" w:before="0" w:after="0"/>
              <w:jc w:val="center"/>
            </w:pPr>
            <w:r>
              <w:rPr>
                <w:rFonts w:ascii="Times New Roman" w:hAnsi="Times New Roman" w:cs="Times New Roman" w:eastAsia="Times New Roman"/>
                <w:sz w:val="22"/>
              </w:rPr>
              <w:t xml:space="preserve">Gini</w:t>
            </w:r>
          </w:p>
        </w:tc>
        <w:tc>
          <w:tcPr/>
          <w:p>
            <w:pPr>
              <w:pStyle w:val="Compact"/>
              <w:spacing w:line="276" w:lineRule="auto" w:before="0" w:after="0"/>
              <w:jc w:val="center"/>
            </w:pPr>
            <w:r>
              <w:rPr>
                <w:rFonts w:ascii="Times New Roman" w:hAnsi="Times New Roman" w:cs="Times New Roman" w:eastAsia="Times New Roman"/>
                <w:sz w:val="22"/>
              </w:rPr>
              <w:t xml:space="preserve">95% CI</w:t>
            </w:r>
          </w:p>
        </w:tc>
        <w:tc>
          <w:tcPr/>
          <w:p>
            <w:pPr>
              <w:pStyle w:val="Compact"/>
              <w:spacing w:line="276" w:lineRule="auto" w:before="0" w:after="0"/>
              <w:jc w:val="center"/>
            </w:pPr>
            <w:r>
              <w:rPr>
                <w:rFonts w:ascii="Times New Roman" w:hAnsi="Times New Roman" w:cs="Times New Roman" w:eastAsia="Times New Roman"/>
                <w:sz w:val="22"/>
              </w:rPr>
              <w:t xml:space="preserve">Atkinson (ε=0.5)</w:t>
            </w:r>
          </w:p>
        </w:tc>
      </w:tr>
      <w:tr>
        <w:tc>
          <w:tcPr/>
          <w:p>
            <w:pPr>
              <w:pStyle w:val="Compact"/>
              <w:spacing w:line="276" w:lineRule="auto" w:before="0" w:after="0"/>
              <w:jc w:val="left"/>
            </w:pPr>
            <w:r>
              <w:rPr>
                <w:rFonts w:ascii="Times New Roman" w:hAnsi="Times New Roman" w:cs="Times New Roman" w:eastAsia="Times New Roman"/>
                <w:sz w:val="22"/>
              </w:rPr>
              <w:t xml:space="preserve">UTCI mean (°C)</w:t>
            </w:r>
          </w:p>
        </w:tc>
        <w:tc>
          <w:tcPr/>
          <w:p>
            <w:pPr>
              <w:pStyle w:val="Compact"/>
              <w:spacing w:line="276" w:lineRule="auto" w:before="0" w:after="0"/>
              <w:jc w:val="center"/>
            </w:pPr>
            <w:r>
              <w:rPr>
                <w:rFonts w:ascii="Times New Roman" w:hAnsi="Times New Roman" w:cs="Times New Roman" w:eastAsia="Times New Roman"/>
                <w:sz w:val="22"/>
              </w:rPr>
              <w:t xml:space="preserve">0.0097</w:t>
            </w:r>
          </w:p>
        </w:tc>
        <w:tc>
          <w:tcPr/>
          <w:p>
            <w:pPr>
              <w:pStyle w:val="Compact"/>
              <w:spacing w:line="276" w:lineRule="auto" w:before="0" w:after="0"/>
              <w:jc w:val="center"/>
            </w:pPr>
            <w:r>
              <w:rPr>
                <w:rFonts w:ascii="Times New Roman" w:hAnsi="Times New Roman" w:cs="Times New Roman" w:eastAsia="Times New Roman"/>
                <w:sz w:val="22"/>
              </w:rPr>
              <w:t xml:space="preserve">[0.0093, 0.0101]</w:t>
            </w:r>
          </w:p>
        </w:tc>
        <w:tc>
          <w:tcPr/>
          <w:p>
            <w:pPr>
              <w:pStyle w:val="Compact"/>
              <w:spacing w:line="276" w:lineRule="auto" w:before="0" w:after="0"/>
              <w:jc w:val="center"/>
            </w:pPr>
            <w:r>
              <w:rPr>
                <w:rFonts w:ascii="Times New Roman" w:hAnsi="Times New Roman" w:cs="Times New Roman" w:eastAsia="Times New Roman"/>
                <w:sz w:val="22"/>
              </w:rPr>
              <w:t xml:space="preserve">0.0028</w:t>
            </w:r>
          </w:p>
        </w:tc>
      </w:tr>
      <w:tr>
        <w:tc>
          <w:tcPr/>
          <w:p>
            <w:pPr>
              <w:pStyle w:val="Compact"/>
              <w:spacing w:line="276" w:lineRule="auto" w:before="0" w:after="0"/>
              <w:jc w:val="left"/>
            </w:pPr>
            <w:r>
              <w:rPr>
                <w:rFonts w:ascii="Times New Roman" w:hAnsi="Times New Roman" w:cs="Times New Roman" w:eastAsia="Times New Roman"/>
                <w:sz w:val="22"/>
              </w:rPr>
              <w:t xml:space="preserve">UTCI peak (°C)</w:t>
            </w:r>
          </w:p>
        </w:tc>
        <w:tc>
          <w:tcPr/>
          <w:p>
            <w:pPr>
              <w:pStyle w:val="Compact"/>
              <w:spacing w:line="276" w:lineRule="auto" w:before="0" w:after="0"/>
              <w:jc w:val="center"/>
            </w:pPr>
            <w:r>
              <w:rPr>
                <w:rFonts w:ascii="Times New Roman" w:hAnsi="Times New Roman" w:cs="Times New Roman" w:eastAsia="Times New Roman"/>
                <w:sz w:val="22"/>
              </w:rPr>
              <w:t xml:space="preserve">0.0173</w:t>
            </w:r>
          </w:p>
        </w:tc>
        <w:tc>
          <w:tcPr/>
          <w:p>
            <w:pPr>
              <w:pStyle w:val="Compact"/>
              <w:spacing w:line="276" w:lineRule="auto" w:before="0" w:after="0"/>
              <w:jc w:val="center"/>
            </w:pPr>
            <w:r>
              <w:rPr>
                <w:rFonts w:ascii="Times New Roman" w:hAnsi="Times New Roman" w:cs="Times New Roman" w:eastAsia="Times New Roman"/>
                <w:sz w:val="22"/>
              </w:rPr>
              <w:t xml:space="preserve">[0.0166, 0.0180]</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sz w:val="22"/>
              </w:rPr>
              <w:t xml:space="preserve">UTCI 95th percentile (°C)</w:t>
            </w:r>
          </w:p>
        </w:tc>
        <w:tc>
          <w:tcPr/>
          <w:p>
            <w:pPr>
              <w:pStyle w:val="Compact"/>
              <w:spacing w:line="276" w:lineRule="auto" w:before="0" w:after="0"/>
              <w:jc w:val="center"/>
            </w:pPr>
            <w:r>
              <w:rPr>
                <w:rFonts w:ascii="Times New Roman" w:hAnsi="Times New Roman" w:cs="Times New Roman" w:eastAsia="Times New Roman"/>
                <w:sz w:val="22"/>
              </w:rPr>
              <w:t xml:space="preserve">0.0214</w:t>
            </w:r>
          </w:p>
        </w:tc>
        <w:tc>
          <w:tcPr/>
          <w:p>
            <w:pPr>
              <w:pStyle w:val="Compact"/>
              <w:spacing w:line="276" w:lineRule="auto" w:before="0" w:after="0"/>
              <w:jc w:val="center"/>
            </w:pPr>
            <w:r>
              <w:rPr>
                <w:rFonts w:ascii="Times New Roman" w:hAnsi="Times New Roman" w:cs="Times New Roman" w:eastAsia="Times New Roman"/>
                <w:sz w:val="22"/>
              </w:rPr>
              <w:t xml:space="preserve">[0.0205, 0.0223]</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sz w:val="22"/>
              </w:rPr>
              <w:t xml:space="preserve">TSD &gt; 32 °C (h)</w:t>
            </w:r>
          </w:p>
        </w:tc>
        <w:tc>
          <w:tcPr/>
          <w:p>
            <w:pPr>
              <w:pStyle w:val="Compact"/>
              <w:spacing w:line="276" w:lineRule="auto" w:before="0" w:after="0"/>
              <w:jc w:val="center"/>
            </w:pPr>
            <w:r>
              <w:rPr>
                <w:rFonts w:ascii="Times New Roman" w:hAnsi="Times New Roman" w:cs="Times New Roman" w:eastAsia="Times New Roman"/>
                <w:sz w:val="22"/>
              </w:rPr>
              <w:t xml:space="preserve">0.0309</w:t>
            </w:r>
          </w:p>
        </w:tc>
        <w:tc>
          <w:tcPr/>
          <w:p>
            <w:pPr>
              <w:pStyle w:val="Compact"/>
              <w:spacing w:line="276" w:lineRule="auto" w:before="0" w:after="0"/>
              <w:jc w:val="center"/>
            </w:pPr>
            <w:r>
              <w:rPr>
                <w:rFonts w:ascii="Times New Roman" w:hAnsi="Times New Roman" w:cs="Times New Roman" w:eastAsia="Times New Roman"/>
                <w:sz w:val="22"/>
              </w:rPr>
              <w:t xml:space="preserve">[0.0297, 0.0321]</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b/>
                <w:bCs/>
                <w:sz w:val="22"/>
              </w:rPr>
              <w:t xml:space="preserve">HDH (°C·h)</w:t>
            </w:r>
          </w:p>
        </w:tc>
        <w:tc>
          <w:tcPr/>
          <w:p>
            <w:pPr>
              <w:pStyle w:val="Compact"/>
              <w:spacing w:line="276" w:lineRule="auto" w:before="0" w:after="0"/>
              <w:jc w:val="center"/>
            </w:pPr>
            <w:r>
              <w:rPr>
                <w:rFonts w:ascii="Times New Roman" w:hAnsi="Times New Roman" w:cs="Times New Roman" w:eastAsia="Times New Roman"/>
                <w:b/>
                <w:bCs/>
                <w:sz w:val="22"/>
              </w:rPr>
              <w:t xml:space="preserve">0.0571</w:t>
            </w:r>
          </w:p>
        </w:tc>
        <w:tc>
          <w:tcPr/>
          <w:p>
            <w:pPr>
              <w:pStyle w:val="Compact"/>
              <w:spacing w:line="276" w:lineRule="auto" w:before="0" w:after="0"/>
              <w:jc w:val="center"/>
            </w:pPr>
            <w:r>
              <w:rPr>
                <w:rFonts w:ascii="Times New Roman" w:hAnsi="Times New Roman" w:cs="Times New Roman" w:eastAsia="Times New Roman"/>
                <w:b/>
                <w:bCs/>
                <w:sz w:val="22"/>
              </w:rPr>
              <w:t xml:space="preserve">[0.0549, 0.0593]</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bl>
    <w:bookmarkEnd w:id="62"/>
    <w:bookmarkStart w:id="63" w:name="X23bba917240657737239d3c39580cca73ea8d05"/>
    <w:p>
      <w:pPr>
        <w:pStyle w:val="Heading2"/>
        <w:spacing w:line="480" w:lineRule="auto" w:before="360" w:after="180"/>
        <w:ind w:firstLine="0"/>
        <w:jc w:val="left"/>
      </w:pPr>
      <w:r>
        <w:rPr>
          <w:rFonts w:ascii="Times New Roman" w:hAnsi="Times New Roman" w:cs="Times New Roman" w:eastAsia="Times New Roman"/>
          <w:b/>
          <w:sz w:val="24"/>
        </w:rPr>
        <w:t xml:space="preserve">Table 2. Pyatt–Yitzhaki Gini decomposition by grouping level.</w:t>
      </w:r>
    </w:p>
    <w:tbl>
      <w:tblPr>
        <w:tblStyle w:val="Table"/>
        <w:tblW w:type="pct" w:w="5000"/>
        <w:tblLayout w:type="fixed"/>
        <w:tblLook w:firstRow="1" w:lastRow="0" w:firstColumn="0" w:lastColumn="0" w:noHBand="0" w:noVBand="0" w:val="0020"/>
      </w:tblPr>
      <w:tblGrid>
        <w:gridCol w:w="700"/>
        <w:gridCol w:w="700"/>
        <w:gridCol w:w="1541"/>
        <w:gridCol w:w="1682"/>
        <w:gridCol w:w="1612"/>
        <w:gridCol w:w="1682"/>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Grouping</w:t>
            </w:r>
          </w:p>
        </w:tc>
        <w:tc>
          <w:tcPr/>
          <w:p>
            <w:pPr>
              <w:pStyle w:val="Compact"/>
              <w:spacing w:line="276" w:lineRule="auto" w:before="0" w:after="0"/>
              <w:jc w:val="center"/>
            </w:pPr>
            <w:r>
              <w:rPr>
                <w:rFonts w:ascii="Times New Roman" w:hAnsi="Times New Roman" w:cs="Times New Roman" w:eastAsia="Times New Roman"/>
                <w:sz w:val="22"/>
              </w:rPr>
              <w:t xml:space="preserve">n groups</w:t>
            </w:r>
          </w:p>
        </w:tc>
        <w:tc>
          <w:tcPr/>
          <w:p>
            <w:pPr>
              <w:pStyle w:val="Compact"/>
              <w:spacing w:line="276" w:lineRule="auto" w:before="0" w:after="0"/>
              <w:jc w:val="center"/>
            </w:pPr>
            <m:oMath>
              <m:sSub>
                <m:e>
                  <m:r>
                    <m:t>G</m:t>
                  </m:r>
                </m:e>
                <m:sub>
                  <m:r>
                    <m:rPr>
                      <m:sty m:val="p"/>
                    </m:rPr>
                    <m:t>t</m:t>
                  </m:r>
                  <m:r>
                    <m:rPr>
                      <m:sty m:val="p"/>
                    </m:rPr>
                    <m:t>o</m:t>
                  </m:r>
                  <m:r>
                    <m:rPr>
                      <m:sty m:val="p"/>
                    </m:rPr>
                    <m:t>t</m:t>
                  </m:r>
                  <m:r>
                    <m:rPr>
                      <m:sty m:val="p"/>
                    </m:rPr>
                    <m:t>a</m:t>
                  </m:r>
                  <m:r>
                    <m:rPr>
                      <m:sty m:val="p"/>
                    </m:rPr>
                    <m:t>l</m:t>
                  </m:r>
                </m:sub>
              </m:sSub>
            </m:oMath>
          </w:p>
        </w:tc>
        <w:tc>
          <w:tcPr/>
          <w:p>
            <w:pPr>
              <w:pStyle w:val="Compact"/>
              <w:spacing w:line="276" w:lineRule="auto" w:before="0" w:after="0"/>
              <w:jc w:val="center"/>
            </w:pPr>
            <m:oMath>
              <m:sSub>
                <m:e>
                  <m:r>
                    <m:t>G</m:t>
                  </m:r>
                </m:e>
                <m:sub>
                  <m:r>
                    <m:rPr>
                      <m:sty m:val="p"/>
                    </m:rPr>
                    <m:t>b</m:t>
                  </m:r>
                  <m:r>
                    <m:rPr>
                      <m:sty m:val="p"/>
                    </m:rPr>
                    <m:t>e</m:t>
                  </m:r>
                  <m:r>
                    <m:rPr>
                      <m:sty m:val="p"/>
                    </m:rPr>
                    <m:t>t</m:t>
                  </m:r>
                  <m:r>
                    <m:rPr>
                      <m:sty m:val="p"/>
                    </m:rPr>
                    <m:t>w</m:t>
                  </m:r>
                  <m:r>
                    <m:rPr>
                      <m:sty m:val="p"/>
                    </m:rPr>
                    <m:t>e</m:t>
                  </m:r>
                  <m:r>
                    <m:rPr>
                      <m:sty m:val="p"/>
                    </m:rPr>
                    <m:t>e</m:t>
                  </m:r>
                  <m:r>
                    <m:rPr>
                      <m:sty m:val="p"/>
                    </m:rPr>
                    <m:t>n</m:t>
                  </m:r>
                </m:sub>
              </m:sSub>
            </m:oMath>
          </w:p>
        </w:tc>
        <w:tc>
          <w:tcPr/>
          <w:p>
            <w:pPr>
              <w:pStyle w:val="Compact"/>
              <w:spacing w:line="276" w:lineRule="auto" w:before="0" w:after="0"/>
              <w:jc w:val="center"/>
            </w:pPr>
            <m:oMath>
              <m:sSub>
                <m:e>
                  <m:r>
                    <m:t>G</m:t>
                  </m:r>
                </m:e>
                <m:sub>
                  <m:r>
                    <m:rPr>
                      <m:sty m:val="p"/>
                    </m:rPr>
                    <m:t>w</m:t>
                  </m:r>
                  <m:r>
                    <m:rPr>
                      <m:sty m:val="p"/>
                    </m:rPr>
                    <m:t>i</m:t>
                  </m:r>
                  <m:r>
                    <m:rPr>
                      <m:sty m:val="p"/>
                    </m:rPr>
                    <m:t>t</m:t>
                  </m:r>
                  <m:r>
                    <m:rPr>
                      <m:sty m:val="p"/>
                    </m:rPr>
                    <m:t>h</m:t>
                  </m:r>
                  <m:r>
                    <m:rPr>
                      <m:sty m:val="p"/>
                    </m:rPr>
                    <m:t>i</m:t>
                  </m:r>
                  <m:r>
                    <m:rPr>
                      <m:sty m:val="p"/>
                    </m:rPr>
                    <m:t>n</m:t>
                  </m:r>
                </m:sub>
              </m:sSub>
            </m:oMath>
          </w:p>
        </w:tc>
        <w:tc>
          <w:tcPr/>
          <w:p>
            <w:pPr>
              <w:pStyle w:val="Compact"/>
              <w:spacing w:line="276" w:lineRule="auto" w:before="0" w:after="0"/>
              <w:jc w:val="center"/>
            </w:pPr>
            <m:oMath>
              <m:sSub>
                <m:e>
                  <m:r>
                    <m:t>G</m:t>
                  </m:r>
                </m:e>
                <m:sub>
                  <m:r>
                    <m:rPr>
                      <m:sty m:val="p"/>
                    </m:rPr>
                    <m:t>o</m:t>
                  </m:r>
                  <m:r>
                    <m:rPr>
                      <m:sty m:val="p"/>
                    </m:rPr>
                    <m:t>v</m:t>
                  </m:r>
                  <m:r>
                    <m:rPr>
                      <m:sty m:val="p"/>
                    </m:rPr>
                    <m:t>e</m:t>
                  </m:r>
                  <m:r>
                    <m:rPr>
                      <m:sty m:val="p"/>
                    </m:rPr>
                    <m:t>r</m:t>
                  </m:r>
                  <m:r>
                    <m:rPr>
                      <m:sty m:val="p"/>
                    </m:rPr>
                    <m:t>l</m:t>
                  </m:r>
                  <m:r>
                    <m:rPr>
                      <m:sty m:val="p"/>
                    </m:rPr>
                    <m:t>a</m:t>
                  </m:r>
                  <m:r>
                    <m:rPr>
                      <m:sty m:val="p"/>
                    </m:rPr>
                    <m:t>p</m:t>
                  </m:r>
                </m:sub>
              </m:sSub>
            </m:oMath>
          </w:p>
        </w:tc>
      </w:tr>
      <w:tr>
        <w:tc>
          <w:tcPr/>
          <w:p>
            <w:pPr>
              <w:pStyle w:val="Compact"/>
              <w:spacing w:line="276" w:lineRule="auto" w:before="0" w:after="0"/>
              <w:jc w:val="left"/>
            </w:pPr>
            <w:r>
              <w:rPr>
                <w:rFonts w:ascii="Times New Roman" w:hAnsi="Times New Roman" w:cs="Times New Roman" w:eastAsia="Times New Roman"/>
                <w:sz w:val="22"/>
              </w:rPr>
              <w:t xml:space="preserve">LCZ class (built-up only)</w:t>
            </w:r>
          </w:p>
        </w:tc>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37.4%</w:t>
            </w:r>
          </w:p>
        </w:tc>
        <w:tc>
          <w:tcPr/>
          <w:p>
            <w:pPr>
              <w:pStyle w:val="Compact"/>
              <w:spacing w:line="276" w:lineRule="auto" w:before="0" w:after="0"/>
              <w:jc w:val="center"/>
            </w:pPr>
            <w:r>
              <w:rPr>
                <w:rFonts w:ascii="Times New Roman" w:hAnsi="Times New Roman" w:cs="Times New Roman" w:eastAsia="Times New Roman"/>
                <w:sz w:val="22"/>
              </w:rPr>
              <w:t xml:space="preserve">86.4%</w:t>
            </w:r>
          </w:p>
        </w:tc>
        <w:tc>
          <w:tcPr/>
          <w:p>
            <w:pPr>
              <w:pStyle w:val="Compact"/>
              <w:spacing w:line="276" w:lineRule="auto" w:before="0" w:after="0"/>
              <w:jc w:val="center"/>
            </w:pPr>
            <w:r>
              <w:rPr>
                <w:rFonts w:ascii="Times New Roman" w:hAnsi="Times New Roman" w:cs="Times New Roman" w:eastAsia="Times New Roman"/>
                <w:sz w:val="22"/>
              </w:rPr>
              <w:t xml:space="preserve">-23.8%</w:t>
            </w:r>
          </w:p>
        </w:tc>
      </w:tr>
      <w:tr>
        <w:tc>
          <w:tcPr/>
          <w:p>
            <w:pPr>
              <w:pStyle w:val="Compact"/>
              <w:spacing w:line="276" w:lineRule="auto" w:before="0" w:after="0"/>
              <w:jc w:val="left"/>
            </w:pPr>
            <w:r>
              <w:rPr>
                <w:rFonts w:ascii="Times New Roman" w:hAnsi="Times New Roman" w:cs="Times New Roman" w:eastAsia="Times New Roman"/>
                <w:sz w:val="22"/>
              </w:rPr>
              <w:t xml:space="preserve">LCZ subcategory</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39.9%</w:t>
            </w:r>
          </w:p>
        </w:tc>
        <w:tc>
          <w:tcPr/>
          <w:p>
            <w:pPr>
              <w:pStyle w:val="Compact"/>
              <w:spacing w:line="276" w:lineRule="auto" w:before="0" w:after="0"/>
              <w:jc w:val="center"/>
            </w:pPr>
            <w:r>
              <w:rPr>
                <w:rFonts w:ascii="Times New Roman" w:hAnsi="Times New Roman" w:cs="Times New Roman" w:eastAsia="Times New Roman"/>
                <w:sz w:val="22"/>
              </w:rPr>
              <w:t xml:space="preserve">85.4%</w:t>
            </w:r>
          </w:p>
        </w:tc>
        <w:tc>
          <w:tcPr/>
          <w:p>
            <w:pPr>
              <w:pStyle w:val="Compact"/>
              <w:spacing w:line="276" w:lineRule="auto" w:before="0" w:after="0"/>
              <w:jc w:val="center"/>
            </w:pPr>
            <w:r>
              <w:rPr>
                <w:rFonts w:ascii="Times New Roman" w:hAnsi="Times New Roman" w:cs="Times New Roman" w:eastAsia="Times New Roman"/>
                <w:sz w:val="22"/>
              </w:rPr>
              <w:t xml:space="preserve">-25.3%</w:t>
            </w:r>
          </w:p>
        </w:tc>
      </w:tr>
    </w:tbl>
    <w:p>
      <w:pPr>
        <w:pStyle w:val="BodyText"/>
        <w:spacing w:line="480" w:lineRule="auto" w:before="0" w:after="0"/>
        <w:ind w:firstLine="0"/>
        <w:jc w:val="lef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 This table restricts the population to grid cells in the nine built-up LCZ classes (1–6, 8–10), enabling a same-baseline comparison between class-level and subcategory-level groupings. The full-city Gini (</w:t>
      </w:r>
      <m:oMath>
        <m:r>
          <m:t>G</m:t>
        </m:r>
        <m:r>
          <m:rPr>
            <m:sty m:val="p"/>
          </m:rPr>
          <m:t>=</m:t>
        </m:r>
        <m:r>
          <m:t>0.0571</m:t>
        </m:r>
      </m:oMath>
      <w:r>
        <w:rPr>
          <w:rFonts w:ascii="Times New Roman" w:hAnsi="Times New Roman" w:cs="Times New Roman" w:eastAsia="Times New Roman"/>
          <w:sz w:val="24"/>
        </w:rPr>
        <w:t xml:space="preserve">, within-class 83.5%) reported in Section 3.3 includes water, forest, and bare-soil classes that contribute mostly between-class variance.</w:t>
      </w:r>
    </w:p>
    <w:bookmarkEnd w:id="63"/>
    <w:bookmarkStart w:id="64" w:name="X84bd6966741b771b04412a4f912499b03dbc2b9"/>
    <w:p>
      <w:pPr>
        <w:pStyle w:val="Heading2"/>
        <w:spacing w:line="480" w:lineRule="auto" w:before="360" w:after="180"/>
        <w:ind w:firstLine="0"/>
        <w:jc w:val="left"/>
      </w:pPr>
      <w:r>
        <w:rPr>
          <w:rFonts w:ascii="Times New Roman" w:hAnsi="Times New Roman" w:cs="Times New Roman" w:eastAsia="Times New Roman"/>
          <w:b/>
          <w:sz w:val="24"/>
        </w:rPr>
        <w:t xml:space="preserve">Table 3. Number of subcategories per LCZ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left"/>
            </w:pPr>
            <w:r>
              <w:rPr>
                <w:rFonts w:ascii="Times New Roman" w:hAnsi="Times New Roman" w:cs="Times New Roman" w:eastAsia="Times New Roman"/>
                <w:sz w:val="22"/>
              </w:rPr>
              <w:t xml:space="preserve">Name</w:t>
            </w:r>
          </w:p>
        </w:tc>
        <w:tc>
          <w:tcPr/>
          <w:p>
            <w:pPr>
              <w:pStyle w:val="Compact"/>
              <w:spacing w:line="276" w:lineRule="auto" w:before="0" w:after="0"/>
              <w:jc w:val="center"/>
            </w:pPr>
            <w:r>
              <w:rPr>
                <w:rFonts w:ascii="Times New Roman" w:hAnsi="Times New Roman" w:cs="Times New Roman" w:eastAsia="Times New Roman"/>
                <w:sz w:val="22"/>
              </w:rPr>
              <w:t xml:space="preserve">n subcategories</w:t>
            </w:r>
          </w:p>
        </w:tc>
        <w:tc>
          <w:tcPr/>
          <w:p>
            <w:pPr>
              <w:pStyle w:val="Compact"/>
              <w:spacing w:line="276" w:lineRule="auto" w:before="0" w:after="0"/>
              <w:jc w:val="center"/>
            </w:pPr>
            <w:r>
              <w:rPr>
                <w:rFonts w:ascii="Times New Roman" w:hAnsi="Times New Roman" w:cs="Times New Roman" w:eastAsia="Times New Roman"/>
                <w:sz w:val="22"/>
              </w:rPr>
              <w:t xml:space="preserve">Silhouette</w:t>
            </w:r>
          </w:p>
        </w:tc>
      </w:tr>
      <w:tr>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left"/>
            </w:pPr>
            <w:r>
              <w:rPr>
                <w:rFonts w:ascii="Times New Roman" w:hAnsi="Times New Roman" w:cs="Times New Roman" w:eastAsia="Times New Roman"/>
                <w:sz w:val="22"/>
              </w:rPr>
              <w:t xml:space="preserve">Compact high-rise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0.57</w:t>
            </w:r>
          </w:p>
        </w:tc>
      </w:tr>
      <w:tr>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left"/>
            </w:pPr>
            <w:r>
              <w:rPr>
                <w:rFonts w:ascii="Times New Roman" w:hAnsi="Times New Roman" w:cs="Times New Roman" w:eastAsia="Times New Roman"/>
                <w:sz w:val="22"/>
              </w:rPr>
              <w:t xml:space="preserve">Compact mid-rise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0.81</w:t>
            </w:r>
          </w:p>
        </w:tc>
      </w:tr>
      <w:tr>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left"/>
            </w:pPr>
            <w:r>
              <w:rPr>
                <w:rFonts w:ascii="Times New Roman" w:hAnsi="Times New Roman" w:cs="Times New Roman" w:eastAsia="Times New Roman"/>
                <w:sz w:val="22"/>
              </w:rPr>
              <w:t xml:space="preserve">Compact low-rise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0.90</w:t>
            </w:r>
          </w:p>
        </w:tc>
      </w:tr>
      <w:tr>
        <w:tc>
          <w:tcPr/>
          <w:p>
            <w:pPr>
              <w:pStyle w:val="Compact"/>
              <w:spacing w:line="276" w:lineRule="auto" w:before="0" w:after="0"/>
              <w:jc w:val="center"/>
            </w:pPr>
            <w:r>
              <w:rPr>
                <w:rFonts w:ascii="Times New Roman" w:hAnsi="Times New Roman" w:cs="Times New Roman" w:eastAsia="Times New Roman"/>
                <w:sz w:val="22"/>
              </w:rPr>
              <w:t xml:space="preserve">4</w:t>
            </w:r>
          </w:p>
        </w:tc>
        <w:tc>
          <w:tcPr/>
          <w:p>
            <w:pPr>
              <w:pStyle w:val="Compact"/>
              <w:spacing w:line="276" w:lineRule="auto" w:before="0" w:after="0"/>
              <w:jc w:val="left"/>
            </w:pPr>
            <w:r>
              <w:rPr>
                <w:rFonts w:ascii="Times New Roman" w:hAnsi="Times New Roman" w:cs="Times New Roman" w:eastAsia="Times New Roman"/>
                <w:sz w:val="22"/>
              </w:rPr>
              <w:t xml:space="preserve">Open high-rise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0.65</w:t>
            </w:r>
          </w:p>
        </w:tc>
      </w:tr>
      <w:tr>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left"/>
            </w:pPr>
            <w:r>
              <w:rPr>
                <w:rFonts w:ascii="Times New Roman" w:hAnsi="Times New Roman" w:cs="Times New Roman" w:eastAsia="Times New Roman"/>
                <w:sz w:val="22"/>
              </w:rPr>
              <w:t xml:space="preserve">Open mid-rise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0.82</w:t>
            </w:r>
          </w:p>
        </w:tc>
      </w:tr>
      <w:tr>
        <w:tc>
          <w:tcPr/>
          <w:p>
            <w:pPr>
              <w:pStyle w:val="Compact"/>
              <w:spacing w:line="276" w:lineRule="auto" w:before="0" w:after="0"/>
              <w:jc w:val="center"/>
            </w:pPr>
            <w:r>
              <w:rPr>
                <w:rFonts w:ascii="Times New Roman" w:hAnsi="Times New Roman" w:cs="Times New Roman" w:eastAsia="Times New Roman"/>
                <w:sz w:val="22"/>
              </w:rPr>
              <w:t xml:space="preserve">6</w:t>
            </w:r>
          </w:p>
        </w:tc>
        <w:tc>
          <w:tcPr/>
          <w:p>
            <w:pPr>
              <w:pStyle w:val="Compact"/>
              <w:spacing w:line="276" w:lineRule="auto" w:before="0" w:after="0"/>
              <w:jc w:val="left"/>
            </w:pPr>
            <w:r>
              <w:rPr>
                <w:rFonts w:ascii="Times New Roman" w:hAnsi="Times New Roman" w:cs="Times New Roman" w:eastAsia="Times New Roman"/>
                <w:sz w:val="22"/>
              </w:rPr>
              <w:t xml:space="preserve">Open low-rise</w:t>
            </w:r>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0.94</w:t>
            </w:r>
          </w:p>
        </w:tc>
      </w:tr>
      <w:tr>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left"/>
            </w:pPr>
            <w:r>
              <w:rPr>
                <w:rFonts w:ascii="Times New Roman" w:hAnsi="Times New Roman" w:cs="Times New Roman" w:eastAsia="Times New Roman"/>
                <w:sz w:val="22"/>
              </w:rPr>
              <w:t xml:space="preserve">Large low-rise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0.87</w:t>
            </w:r>
          </w:p>
        </w:tc>
      </w:tr>
      <w:tr>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left"/>
            </w:pPr>
            <w:r>
              <w:rPr>
                <w:rFonts w:ascii="Times New Roman" w:hAnsi="Times New Roman" w:cs="Times New Roman" w:eastAsia="Times New Roman"/>
                <w:sz w:val="22"/>
              </w:rPr>
              <w:t xml:space="preserve">Sparsely built</w:t>
            </w:r>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1.00</w:t>
            </w:r>
          </w:p>
        </w:tc>
      </w:tr>
      <w:tr>
        <w:tc>
          <w:tcPr/>
          <w:p>
            <w:pPr>
              <w:pStyle w:val="Compact"/>
              <w:spacing w:line="276" w:lineRule="auto" w:before="0" w:after="0"/>
              <w:jc w:val="center"/>
            </w:pPr>
            <w:r>
              <w:rPr>
                <w:rFonts w:ascii="Times New Roman" w:hAnsi="Times New Roman" w:cs="Times New Roman" w:eastAsia="Times New Roman"/>
                <w:sz w:val="22"/>
              </w:rPr>
              <w:t xml:space="preserve">10</w:t>
            </w:r>
          </w:p>
        </w:tc>
        <w:tc>
          <w:tcPr/>
          <w:p>
            <w:pPr>
              <w:pStyle w:val="Compact"/>
              <w:spacing w:line="276" w:lineRule="auto" w:before="0" w:after="0"/>
              <w:jc w:val="left"/>
            </w:pPr>
            <w:r>
              <w:rPr>
                <w:rFonts w:ascii="Times New Roman" w:hAnsi="Times New Roman" w:cs="Times New Roman" w:eastAsia="Times New Roman"/>
                <w:sz w:val="22"/>
              </w:rPr>
              <w:t xml:space="preserve">Heavy industry</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0.72</w:t>
            </w:r>
          </w:p>
        </w:tc>
      </w:tr>
      <w:tr>
        <w:tc>
          <w:tcPr/>
          <w:p>
            <w:pPr>
              <w:pStyle w:val="Compact"/>
              <w:spacing w:line="276" w:lineRule="auto" w:before="0" w:after="0"/>
              <w:jc w:val="center"/>
            </w:pPr>
            <w:r>
              <w:rPr>
                <w:rFonts w:ascii="Times New Roman" w:hAnsi="Times New Roman" w:cs="Times New Roman" w:eastAsia="Times New Roman"/>
                <w:b/>
                <w:bCs/>
                <w:sz w:val="22"/>
              </w:rPr>
              <w:t xml:space="preserve">Total</w:t>
            </w:r>
          </w:p>
        </w:tc>
        <w:tc>
          <w:tcPr/>
          <w:p>
            <w:pPr>
              <w:pStyle w:val="Compact"/>
              <w:spacing w:line="276" w:lineRule="auto" w:before="0" w:after="0"/>
            </w:pPr>
          </w:p>
        </w:tc>
        <w:tc>
          <w:tcPr/>
          <w:p>
            <w:pPr>
              <w:pStyle w:val="Compact"/>
              <w:spacing w:line="276" w:lineRule="auto" w:before="0" w:after="0"/>
              <w:jc w:val="center"/>
            </w:pPr>
            <w:r>
              <w:rPr>
                <w:rFonts w:ascii="Times New Roman" w:hAnsi="Times New Roman" w:cs="Times New Roman" w:eastAsia="Times New Roman"/>
                <w:b/>
                <w:bCs/>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mean 0.81</w:t>
            </w:r>
          </w:p>
        </w:tc>
      </w:tr>
    </w:tbl>
    <w:bookmarkEnd w:id="64"/>
    <w:bookmarkStart w:id="65" w:name="X03c0bf24849155c69f32a1df039451e9b095c58"/>
    <w:p>
      <w:pPr>
        <w:pStyle w:val="Heading2"/>
        <w:spacing w:line="480" w:lineRule="auto" w:before="360" w:after="180"/>
        <w:ind w:firstLine="0"/>
        <w:jc w:val="left"/>
      </w:pPr>
      <w:r>
        <w:rPr>
          <w:rFonts w:ascii="Times New Roman" w:hAnsi="Times New Roman" w:cs="Times New Roman" w:eastAsia="Times New Roman"/>
          <w:b/>
          <w:sz w:val="24"/>
        </w:rPr>
        <w:t xml:space="preserve">Table 6. Phase 6 — within-class Gini reduction across six clustering schemes.</w:t>
      </w:r>
    </w:p>
    <w:tbl>
      <w:tblPr>
        <w:tblStyle w:val="Table"/>
        <w:tblW w:type="pct" w:w="5000"/>
        <w:tblLayout w:type="fixed"/>
        <w:tblLook w:firstRow="1" w:lastRow="0" w:firstColumn="0" w:lastColumn="0" w:noHBand="0" w:noVBand="0" w:val="0020"/>
      </w:tblPr>
      <w:tblGrid>
        <w:gridCol w:w="621"/>
        <w:gridCol w:w="1242"/>
        <w:gridCol w:w="931"/>
        <w:gridCol w:w="1320"/>
        <w:gridCol w:w="2872"/>
        <w:gridCol w:w="931"/>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 family</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n 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left"/>
            </w:pPr>
            <w:r>
              <w:rPr>
                <w:rFonts w:ascii="Times New Roman" w:hAnsi="Times New Roman" w:cs="Times New Roman" w:eastAsia="Times New Roman"/>
                <w:sz w:val="22"/>
              </w:rPr>
              <w:t xml:space="preserve">A</w:t>
            </w:r>
          </w:p>
        </w:tc>
        <w:tc>
          <w:tcPr/>
          <w:p>
            <w:pPr>
              <w:pStyle w:val="Compact"/>
              <w:spacing w:line="276" w:lineRule="auto" w:before="0" w:after="0"/>
              <w:jc w:val="left"/>
            </w:pPr>
            <w:r>
              <w:rPr>
                <w:rFonts w:ascii="Times New Roman" w:hAnsi="Times New Roman" w:cs="Times New Roman" w:eastAsia="Times New Roman"/>
                <w:sz w:val="22"/>
              </w:rPr>
              <w:t xml:space="preserve">Form (UMPs)</w:t>
            </w:r>
          </w:p>
        </w:tc>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+1.03</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B</w:t>
            </w:r>
          </w:p>
        </w:tc>
        <w:tc>
          <w:tcPr/>
          <w:p>
            <w:pPr>
              <w:pStyle w:val="Compact"/>
              <w:spacing w:line="276" w:lineRule="auto" w:before="0" w:after="0"/>
              <w:jc w:val="left"/>
            </w:pPr>
            <w:r>
              <w:rPr>
                <w:rFonts w:ascii="Times New Roman" w:hAnsi="Times New Roman" w:cs="Times New Roman" w:eastAsia="Times New Roman"/>
                <w:sz w:val="22"/>
              </w:rPr>
              <w:t xml:space="preserve">Topology</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C</w:t>
            </w:r>
          </w:p>
        </w:tc>
        <w:tc>
          <w:tcPr/>
          <w:p>
            <w:pPr>
              <w:pStyle w:val="Compact"/>
              <w:spacing w:line="276" w:lineRule="auto" w:before="0" w:after="0"/>
              <w:jc w:val="left"/>
            </w:pPr>
            <w:r>
              <w:rPr>
                <w:rFonts w:ascii="Times New Roman" w:hAnsi="Times New Roman" w:cs="Times New Roman" w:eastAsia="Times New Roman"/>
                <w:sz w:val="22"/>
              </w:rPr>
              <w:t xml:space="preserve">Form + Topology</w:t>
            </w:r>
          </w:p>
        </w:tc>
        <w:tc>
          <w:tcPr/>
          <w:p>
            <w:pPr>
              <w:pStyle w:val="Compact"/>
              <w:spacing w:line="276" w:lineRule="auto" w:before="0" w:after="0"/>
              <w:jc w:val="center"/>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sz w:val="22"/>
              </w:rPr>
              <w:t xml:space="preserve">+0.89</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D</w:t>
            </w:r>
          </w:p>
        </w:tc>
        <w:tc>
          <w:tcPr/>
          <w:p>
            <w:pPr>
              <w:pStyle w:val="Compact"/>
              <w:spacing w:line="276" w:lineRule="auto" w:before="0" w:after="0"/>
              <w:jc w:val="left"/>
            </w:pPr>
            <w:r>
              <w:rPr>
                <w:rFonts w:ascii="Times New Roman" w:hAnsi="Times New Roman" w:cs="Times New Roman" w:eastAsia="Times New Roman"/>
                <w:sz w:val="22"/>
              </w:rPr>
              <w:t xml:space="preserve">Population</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22</w:t>
            </w:r>
          </w:p>
        </w:tc>
        <w:tc>
          <w:tcPr/>
          <w:p>
            <w:pPr>
              <w:pStyle w:val="Compact"/>
              <w:spacing w:line="276" w:lineRule="auto" w:before="0" w:after="0"/>
              <w:jc w:val="center"/>
            </w:pPr>
            <w:r>
              <w:rPr>
                <w:rFonts w:ascii="Times New Roman" w:hAnsi="Times New Roman" w:cs="Times New Roman" w:eastAsia="Times New Roman"/>
                <w:sz w:val="22"/>
              </w:rPr>
              <w:t xml:space="preserve">+4.31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b/>
                <w:bCs/>
                <w:sz w:val="22"/>
              </w:rPr>
              <w:t xml:space="preserve">E</w:t>
            </w:r>
          </w:p>
        </w:tc>
        <w:tc>
          <w:tcPr/>
          <w:p>
            <w:pPr>
              <w:pStyle w:val="Compact"/>
              <w:spacing w:line="276" w:lineRule="auto" w:before="0" w:after="0"/>
              <w:jc w:val="left"/>
            </w:pPr>
            <w:r>
              <w:rPr>
                <w:rFonts w:ascii="Times New Roman" w:hAnsi="Times New Roman" w:cs="Times New Roman" w:eastAsia="Times New Roman"/>
                <w:b/>
                <w:bCs/>
                <w:sz w:val="22"/>
              </w:rPr>
              <w:t xml:space="preserve">Geography</w:t>
            </w:r>
          </w:p>
        </w:tc>
        <w:tc>
          <w:tcPr/>
          <w:p>
            <w:pPr>
              <w:pStyle w:val="Compact"/>
              <w:spacing w:line="276" w:lineRule="auto" w:before="0" w:after="0"/>
              <w:jc w:val="center"/>
            </w:pPr>
            <w:r>
              <w:rPr>
                <w:rFonts w:ascii="Times New Roman" w:hAnsi="Times New Roman" w:cs="Times New Roman" w:eastAsia="Times New Roman"/>
                <w:b/>
                <w:bCs/>
                <w:sz w:val="22"/>
              </w:rPr>
              <w:t xml:space="preserve">3</w:t>
            </w:r>
          </w:p>
        </w:tc>
        <w:tc>
          <w:tcPr/>
          <w:p>
            <w:pPr>
              <w:pStyle w:val="Compact"/>
              <w:spacing w:line="276" w:lineRule="auto" w:before="0" w:after="0"/>
              <w:jc w:val="center"/>
            </w:pPr>
            <w:r>
              <w:rPr>
                <w:rFonts w:ascii="Times New Roman" w:hAnsi="Times New Roman" w:cs="Times New Roman" w:eastAsia="Times New Roman"/>
                <w:b/>
                <w:bCs/>
                <w:sz w:val="22"/>
              </w:rPr>
              <w:t xml:space="preserve">35</w:t>
            </w:r>
          </w:p>
        </w:tc>
        <w:tc>
          <w:tcPr/>
          <w:p>
            <w:pPr>
              <w:pStyle w:val="Compact"/>
              <w:spacing w:line="276" w:lineRule="auto" w:before="0" w:after="0"/>
              <w:jc w:val="center"/>
            </w:pPr>
            <w:r>
              <w:rPr>
                <w:rFonts w:ascii="Times New Roman" w:hAnsi="Times New Roman" w:cs="Times New Roman" w:eastAsia="Times New Roman"/>
                <w:b/>
                <w:bCs/>
                <w:sz w:val="22"/>
              </w:rPr>
              <w:t xml:space="preserve">+10.81</w:t>
            </w:r>
          </w:p>
        </w:tc>
        <w:tc>
          <w:tcPr/>
          <w:p>
            <w:pPr>
              <w:pStyle w:val="Compact"/>
              <w:spacing w:line="276" w:lineRule="auto" w:before="0" w:after="0"/>
              <w:jc w:val="center"/>
            </w:pPr>
            <w:r>
              <w:rPr>
                <w:rFonts w:ascii="Times New Roman" w:hAnsi="Times New Roman" w:cs="Times New Roman" w:eastAsia="Times New Roman"/>
                <w:b/>
                <w:bCs/>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F</w:t>
            </w:r>
          </w:p>
        </w:tc>
        <w:tc>
          <w:tcPr/>
          <w:p>
            <w:pPr>
              <w:pStyle w:val="Compact"/>
              <w:spacing w:line="276" w:lineRule="auto" w:before="0" w:after="0"/>
              <w:jc w:val="left"/>
            </w:pPr>
            <w:r>
              <w:rPr>
                <w:rFonts w:ascii="Times New Roman" w:hAnsi="Times New Roman" w:cs="Times New Roman" w:eastAsia="Times New Roman"/>
                <w:sz w:val="22"/>
              </w:rPr>
              <w:t xml:space="preserve">All 19 independent</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24</w:t>
            </w:r>
          </w:p>
        </w:tc>
        <w:tc>
          <w:tcPr/>
          <w:p>
            <w:pPr>
              <w:pStyle w:val="Compact"/>
              <w:spacing w:line="276" w:lineRule="auto" w:before="0" w:after="0"/>
              <w:jc w:val="center"/>
            </w:pPr>
            <w:r>
              <w:rPr>
                <w:rFonts w:ascii="Times New Roman" w:hAnsi="Times New Roman" w:cs="Times New Roman" w:eastAsia="Times New Roman"/>
                <w:sz w:val="22"/>
              </w:rPr>
              <w:t xml:space="preserve">+0.60</w:t>
            </w:r>
          </w:p>
        </w:tc>
        <w:tc>
          <w:tcPr/>
          <w:p>
            <w:pPr>
              <w:pStyle w:val="Compact"/>
              <w:spacing w:line="276" w:lineRule="auto" w:before="0" w:after="0"/>
              <w:jc w:val="center"/>
            </w:pPr>
            <w:r>
              <w:rPr>
                <w:rFonts w:ascii="Times New Roman" w:hAnsi="Times New Roman" w:cs="Times New Roman" w:eastAsia="Times New Roman"/>
                <w:sz w:val="22"/>
              </w:rPr>
              <w:t xml:space="preserve">✗</w:t>
            </w:r>
          </w:p>
        </w:tc>
      </w:tr>
    </w:tbl>
    <w:p>
      <w:pPr>
        <w:pStyle w:val="BodyText"/>
        <w:spacing w:line="480" w:lineRule="auto" w:before="0" w:after="0"/>
        <w:ind w:firstLine="0"/>
        <w:jc w:val="left"/>
      </w:pPr>
      <w:r>
        <w:rPr>
          <w:rFonts w:ascii="Times New Roman" w:hAnsi="Times New Roman" w:cs="Times New Roman" w:eastAsia="Times New Roman"/>
          <w:sz w:val="24"/>
        </w:rPr>
        <w:t xml:space="preserve">Geography (distance to coast, distance to mountain, elevation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is the only feature family that breaks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absorbing more than ten times the inequality of building form.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combined scheme F suffers from the curse of dimensionality.</w:t>
      </w:r>
    </w:p>
    <w:bookmarkEnd w:id="65"/>
    <w:bookmarkStart w:id="66" w:name="Xd7e9c2a54b13f8cbf344958e73884c276fc32c5"/>
    <w:p>
      <w:pPr>
        <w:pStyle w:val="Heading2"/>
        <w:spacing w:line="480" w:lineRule="auto" w:before="360" w:after="180"/>
        <w:ind w:firstLine="0"/>
        <w:jc w:val="left"/>
      </w:pPr>
      <w:r>
        <w:rPr>
          <w:rFonts w:ascii="Times New Roman" w:hAnsi="Times New Roman" w:cs="Times New Roman" w:eastAsia="Times New Roman"/>
          <w:b/>
          <w:sz w:val="24"/>
        </w:rPr>
        <w:t xml:space="preserve">Table 7. Phase 6.5 — Single-feature decomposition of geography contribution.</w:t>
      </w:r>
    </w:p>
    <w:tbl>
      <w:tblPr>
        <w:tblStyle w:val="Table"/>
        <w:tblW w:type="pct" w:w="5000"/>
        <w:tblLayout w:type="fixed"/>
        <w:tblLook w:firstRow="1" w:lastRow="0" w:firstColumn="0" w:lastColumn="0" w:noHBand="0" w:noVBand="0" w:val="0020"/>
      </w:tblPr>
      <w:tblGrid>
        <w:gridCol w:w="782"/>
        <w:gridCol w:w="977"/>
        <w:gridCol w:w="1173"/>
        <w:gridCol w:w="1466"/>
        <w:gridCol w:w="352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 (pp)</w:t>
            </w:r>
          </w:p>
        </w:tc>
      </w:tr>
      <w:tr>
        <w:tc>
          <w:tcPr/>
          <w:p>
            <w:pPr>
              <w:pStyle w:val="Compact"/>
              <w:spacing w:line="276" w:lineRule="auto" w:before="0" w:after="0"/>
              <w:jc w:val="left"/>
            </w:pPr>
            <w:r>
              <w:rPr>
                <w:rFonts w:ascii="Times New Roman" w:hAnsi="Times New Roman" w:cs="Times New Roman" w:eastAsia="Times New Roman"/>
                <w:sz w:val="22"/>
              </w:rPr>
              <w:t xml:space="preserve">Coast distance only</w:t>
            </w:r>
          </w:p>
        </w:tc>
        <w:tc>
          <w:tcPr/>
          <w:p>
            <w:pPr>
              <w:pStyle w:val="Compact"/>
              <w:spacing w:line="276" w:lineRule="auto" w:before="0" w:after="0"/>
              <w:jc w:val="left"/>
            </w:pPr>
            <m:oMath>
              <m:sSub>
                <m:e>
                  <m:r>
                    <m:t>d</m:t>
                  </m:r>
                </m:e>
                <m:sub>
                  <m:r>
                    <m:rPr>
                      <m:nor/>
                      <m:sty m:val="p"/>
                    </m:rPr>
                    <m:t>coast</m:t>
                  </m:r>
                </m:sub>
              </m:sSub>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+3.50</w:t>
            </w:r>
          </w:p>
        </w:tc>
      </w:tr>
      <w:tr>
        <w:tc>
          <w:tcPr/>
          <w:p>
            <w:pPr>
              <w:pStyle w:val="Compact"/>
              <w:spacing w:line="276" w:lineRule="auto" w:before="0" w:after="0"/>
              <w:jc w:val="left"/>
            </w:pPr>
            <w:r>
              <w:rPr>
                <w:rFonts w:ascii="Times New Roman" w:hAnsi="Times New Roman" w:cs="Times New Roman" w:eastAsia="Times New Roman"/>
                <w:b/>
                <w:bCs/>
                <w:sz w:val="22"/>
              </w:rPr>
              <w:t xml:space="preserve">Mountain distance only</w:t>
            </w:r>
          </w:p>
        </w:tc>
        <w:tc>
          <w:tcPr/>
          <w:p>
            <w:pPr>
              <w:pStyle w:val="Compact"/>
              <w:spacing w:line="276" w:lineRule="auto" w:before="0" w:after="0"/>
              <w:jc w:val="left"/>
            </w:pPr>
            <m:oMath>
              <m:sSub>
                <m:e>
                  <m:r>
                    <m:t>d</m:t>
                  </m:r>
                </m:e>
                <m:sub>
                  <m:r>
                    <m:rPr>
                      <m:nor/>
                      <m:sty m:val="p"/>
                    </m:rPr>
                    <m:t>mountain</m:t>
                  </m:r>
                </m:sub>
              </m:sSub>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b/>
                <w:bCs/>
                <w:sz w:val="22"/>
              </w:rPr>
              <w:t xml:space="preserve">+9.24</w:t>
            </w:r>
          </w:p>
        </w:tc>
      </w:tr>
      <w:tr>
        <w:tc>
          <w:tcPr/>
          <w:p>
            <w:pPr>
              <w:pStyle w:val="Compact"/>
              <w:spacing w:line="276" w:lineRule="auto" w:before="0" w:after="0"/>
              <w:jc w:val="left"/>
            </w:pPr>
            <w:r>
              <w:rPr>
                <w:rFonts w:ascii="Times New Roman" w:hAnsi="Times New Roman" w:cs="Times New Roman" w:eastAsia="Times New Roman"/>
                <w:sz w:val="22"/>
              </w:rPr>
              <w:t xml:space="preserve">Elevation proxy only</w:t>
            </w:r>
          </w:p>
        </w:tc>
        <w:tc>
          <w:tcPr/>
          <w:p>
            <w:pPr>
              <w:pStyle w:val="Compact"/>
              <w:spacing w:line="276" w:lineRule="auto" w:before="0" w:after="0"/>
              <w:jc w:val="left"/>
            </w:pPr>
            <m:oMath>
              <m:r>
                <m:t>1</m:t>
              </m:r>
              <m:r>
                <m:rPr>
                  <m:sty m:val="p"/>
                </m:rPr>
                <m:t>/</m:t>
              </m:r>
              <m:r>
                <m:rPr>
                  <m:sty m:val="p"/>
                </m:rPr>
                <m:t>(</m:t>
              </m:r>
              <m:sSub>
                <m:e>
                  <m:r>
                    <m:t>d</m:t>
                  </m:r>
                </m:e>
                <m:sub>
                  <m:r>
                    <m:rPr>
                      <m:nor/>
                      <m:sty m:val="p"/>
                    </m:rPr>
                    <m:t>mountain</m:t>
                  </m:r>
                </m:sub>
              </m:sSub>
              <m:r>
                <m:rPr>
                  <m:sty m:val="p"/>
                </m:rPr>
                <m:t>+</m:t>
              </m:r>
              <m:r>
                <m:t>1</m:t>
              </m:r>
              <m:r>
                <m:rPr>
                  <m:sty m:val="p"/>
                </m:rPr>
                <m:t>)</m:t>
              </m:r>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+5.52</w:t>
            </w:r>
          </w:p>
        </w:tc>
      </w:tr>
      <w:tr>
        <w:tc>
          <w:tcPr/>
          <w:p>
            <w:pPr>
              <w:pStyle w:val="Compact"/>
              <w:spacing w:line="276" w:lineRule="auto" w:before="0" w:after="0"/>
              <w:jc w:val="left"/>
            </w:pPr>
            <w:r>
              <w:rPr>
                <w:rFonts w:ascii="Times New Roman" w:hAnsi="Times New Roman" w:cs="Times New Roman" w:eastAsia="Times New Roman"/>
                <w:b/>
                <w:bCs/>
                <w:sz w:val="22"/>
              </w:rPr>
              <w:t xml:space="preserve">Coast + Mountain</w:t>
            </w:r>
          </w:p>
        </w:tc>
        <w:tc>
          <w:tcPr/>
          <w:p>
            <w:pPr>
              <w:pStyle w:val="Compact"/>
              <w:spacing w:line="276" w:lineRule="auto" w:before="0" w:after="0"/>
              <w:jc w:val="left"/>
            </w:pPr>
            <m:oMath>
              <m:sSub>
                <m:e>
                  <m:r>
                    <m:t>d</m:t>
                  </m:r>
                </m:e>
                <m:sub>
                  <m:r>
                    <m:rPr>
                      <m:nor/>
                      <m:sty m:val="p"/>
                    </m:rPr>
                    <m:t>coast</m:t>
                  </m:r>
                </m:sub>
              </m:sSub>
              <m:r>
                <m:rPr>
                  <m:sty m:val="p"/>
                </m:rPr>
                <m:t>,</m:t>
              </m:r>
              <m:sSub>
                <m:e>
                  <m:r>
                    <m:t>d</m:t>
                  </m:r>
                </m:e>
                <m:sub>
                  <m:r>
                    <m:rPr>
                      <m:nor/>
                      <m:sty m:val="p"/>
                    </m:rPr>
                    <m:t>mountain</m:t>
                  </m:r>
                </m:sub>
              </m:sSub>
            </m:oMath>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b/>
                <w:bCs/>
                <w:sz w:val="22"/>
              </w:rPr>
              <w:t xml:space="preserve">+14.29</w:t>
            </w:r>
          </w:p>
        </w:tc>
      </w:tr>
      <w:tr>
        <w:tc>
          <w:tcPr/>
          <w:p>
            <w:pPr>
              <w:pStyle w:val="Compact"/>
              <w:spacing w:line="276" w:lineRule="auto" w:before="0" w:after="0"/>
              <w:jc w:val="left"/>
            </w:pPr>
            <w:r>
              <w:rPr>
                <w:rFonts w:ascii="Times New Roman" w:hAnsi="Times New Roman" w:cs="Times New Roman" w:eastAsia="Times New Roman"/>
                <w:sz w:val="22"/>
              </w:rPr>
              <w:t xml:space="preserve">All 3 (Coast + Mountain + Elevation)</w:t>
            </w:r>
          </w:p>
        </w:tc>
        <w:tc>
          <w:tcPr/>
          <w:p>
            <w:pPr>
              <w:pStyle w:val="Compact"/>
              <w:spacing w:line="276" w:lineRule="auto" w:before="0" w:after="0"/>
              <w:jc w:val="left"/>
            </w:pPr>
            <w:r>
              <w:rPr>
                <w:rFonts w:ascii="Times New Roman" w:hAnsi="Times New Roman" w:cs="Times New Roman" w:eastAsia="Times New Roman"/>
                <w:sz w:val="22"/>
              </w:rPr>
              <w:t xml:space="preserve">full geography</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+11.26</w:t>
            </w:r>
          </w:p>
        </w:tc>
      </w:tr>
    </w:tbl>
    <w:p>
      <w:pPr>
        <w:pStyle w:val="BodyText"/>
        <w:spacing w:line="480" w:lineRule="auto" w:before="0" w:after="0"/>
        <w:ind w:firstLine="0"/>
        <w:jc w:val="left"/>
      </w:pPr>
      <w:r>
        <w:rPr>
          <w:rFonts w:ascii="Times New Roman" w:hAnsi="Times New Roman" w:cs="Times New Roman" w:eastAsia="Times New Roman"/>
          <w:sz w:val="24"/>
        </w:rPr>
        <w:t xml:space="preserve">Mountain distance alone (single feature, +9.24 pp) already exceeds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and is roughly nine times the morphology baseline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(+1.03 pp from 8 UMPs). The two-feature combination of coast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peaks at +14.29 pp; adding the elevation proxy reduces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result by ~3 pp, an early sign of feature redundancy.</w:t>
      </w:r>
    </w:p>
    <w:bookmarkEnd w:id="66"/>
    <w:bookmarkStart w:id="67" w:name="Xa1fefc6ec61f2d03d7d619415afdb30eacef390"/>
    <w:p>
      <w:pPr>
        <w:pStyle w:val="Heading2"/>
        <w:spacing w:line="480" w:lineRule="auto" w:before="360" w:after="180"/>
        <w:ind w:firstLine="0"/>
        <w:jc w:val="left"/>
      </w:pPr>
      <w:r>
        <w:rPr>
          <w:rFonts w:ascii="Times New Roman" w:hAnsi="Times New Roman" w:cs="Times New Roman" w:eastAsia="Times New Roman"/>
          <w:b/>
          <w:sz w:val="24"/>
        </w:rPr>
        <w:t xml:space="preserve">Table 8. Phase 7 (L1) — Diurnal validation of geographic mechanism.</w:t>
      </w:r>
    </w:p>
    <w:tbl>
      <w:tblPr>
        <w:tblStyle w:val="Table"/>
        <w:tblW w:type="pct" w:w="5000"/>
        <w:tblLayout w:type="fixed"/>
        <w:tblLook w:firstRow="1" w:lastRow="0" w:firstColumn="0" w:lastColumn="0" w:noHBand="0" w:noVBand="0" w:val="0020"/>
      </w:tblPr>
      <w:tblGrid>
        <w:gridCol w:w="754"/>
        <w:gridCol w:w="1791"/>
        <w:gridCol w:w="2074"/>
        <w:gridCol w:w="1602"/>
        <w:gridCol w:w="1697"/>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center"/>
            </w:pPr>
            <w:r>
              <w:rPr>
                <w:rFonts w:ascii="Times New Roman" w:hAnsi="Times New Roman" w:cs="Times New Roman" w:eastAsia="Times New Roman"/>
                <w:sz w:val="22"/>
              </w:rPr>
              <w:t xml:space="preserve">Day reduction (pp)</w:t>
            </w:r>
          </w:p>
        </w:tc>
        <w:tc>
          <w:tcPr/>
          <w:p>
            <w:pPr>
              <w:pStyle w:val="Compact"/>
              <w:spacing w:line="276" w:lineRule="auto" w:before="0" w:after="0"/>
              <w:jc w:val="center"/>
            </w:pPr>
            <w:r>
              <w:rPr>
                <w:rFonts w:ascii="Times New Roman" w:hAnsi="Times New Roman" w:cs="Times New Roman" w:eastAsia="Times New Roman"/>
                <w:sz w:val="22"/>
              </w:rPr>
              <w:t xml:space="preserve">Night reduction (pp)</w:t>
            </w:r>
          </w:p>
        </w:tc>
        <w:tc>
          <w:tcPr/>
          <w:p>
            <w:pPr>
              <w:pStyle w:val="Compact"/>
              <w:spacing w:line="276" w:lineRule="auto" w:before="0" w:after="0"/>
              <w:jc w:val="center"/>
            </w:pPr>
            <w:r>
              <w:rPr>
                <w:rFonts w:ascii="Times New Roman" w:hAnsi="Times New Roman" w:cs="Times New Roman" w:eastAsia="Times New Roman"/>
                <w:sz w:val="22"/>
              </w:rPr>
              <w:t xml:space="preserve">Day/night ratio</w:t>
            </w:r>
          </w:p>
        </w:tc>
        <w:tc>
          <w:tcPr/>
          <w:p>
            <w:pPr>
              <w:pStyle w:val="Compact"/>
              <w:spacing w:line="276" w:lineRule="auto" w:before="0" w:after="0"/>
              <w:jc w:val="left"/>
            </w:pPr>
            <w:r>
              <w:rPr>
                <w:rFonts w:ascii="Times New Roman" w:hAnsi="Times New Roman" w:cs="Times New Roman" w:eastAsia="Times New Roman"/>
                <w:sz w:val="22"/>
              </w:rPr>
              <w:t xml:space="preserve">Mechanism support</w:t>
            </w:r>
          </w:p>
        </w:tc>
      </w:tr>
      <w:tr>
        <w:tc>
          <w:tcPr/>
          <w:p>
            <w:pPr>
              <w:pStyle w:val="Compact"/>
              <w:spacing w:line="276" w:lineRule="auto" w:before="0" w:after="0"/>
              <w:jc w:val="left"/>
            </w:pPr>
            <w:r>
              <w:rPr>
                <w:rFonts w:ascii="Times New Roman" w:hAnsi="Times New Roman" w:cs="Times New Roman" w:eastAsia="Times New Roman"/>
                <w:sz w:val="22"/>
              </w:rPr>
              <w:t xml:space="preserve">Coast only</w:t>
            </w:r>
          </w:p>
        </w:tc>
        <w:tc>
          <w:tcPr/>
          <w:p>
            <w:pPr>
              <w:pStyle w:val="Compact"/>
              <w:spacing w:line="276" w:lineRule="auto" w:before="0" w:after="0"/>
              <w:jc w:val="center"/>
            </w:pPr>
            <w:r>
              <w:rPr>
                <w:rFonts w:ascii="Times New Roman" w:hAnsi="Times New Roman" w:cs="Times New Roman" w:eastAsia="Times New Roman"/>
                <w:sz w:val="22"/>
              </w:rPr>
              <w:t xml:space="preserve">+3.62</w:t>
            </w:r>
          </w:p>
        </w:tc>
        <w:tc>
          <w:tcPr/>
          <w:p>
            <w:pPr>
              <w:pStyle w:val="Compact"/>
              <w:spacing w:line="276" w:lineRule="auto" w:before="0" w:after="0"/>
              <w:jc w:val="center"/>
            </w:pPr>
            <w:r>
              <w:rPr>
                <w:rFonts w:ascii="Times New Roman" w:hAnsi="Times New Roman" w:cs="Times New Roman" w:eastAsia="Times New Roman"/>
                <w:sz w:val="22"/>
              </w:rPr>
              <w:t xml:space="preserve">+2.61</w:t>
            </w:r>
          </w:p>
        </w:tc>
        <w:tc>
          <w:tcPr/>
          <w:p>
            <w:pPr>
              <w:pStyle w:val="Compact"/>
              <w:spacing w:line="276" w:lineRule="auto" w:before="0" w:after="0"/>
              <w:jc w:val="center"/>
            </w:pPr>
            <w:r>
              <w:rPr>
                <w:rFonts w:ascii="Times New Roman" w:hAnsi="Times New Roman" w:cs="Times New Roman" w:eastAsia="Times New Roman"/>
                <w:sz w:val="22"/>
              </w:rPr>
              <w:t xml:space="preserve">1.39×</w:t>
            </w:r>
          </w:p>
        </w:tc>
        <w:tc>
          <w:tcPr/>
          <w:p>
            <w:pPr>
              <w:pStyle w:val="Compact"/>
              <w:spacing w:line="276" w:lineRule="auto" w:before="0" w:after="0"/>
              <w:jc w:val="left"/>
            </w:pPr>
            <w:r>
              <w:rPr>
                <w:rFonts w:ascii="Times New Roman" w:hAnsi="Times New Roman" w:cs="Times New Roman" w:eastAsia="Times New Roman"/>
                <w:sz w:val="22"/>
              </w:rPr>
              <w:t xml:space="preserve">H1 confirmed (sea breeze)</w:t>
            </w:r>
          </w:p>
        </w:tc>
      </w:tr>
      <w:tr>
        <w:tc>
          <w:tcPr/>
          <w:p>
            <w:pPr>
              <w:pStyle w:val="Compact"/>
              <w:spacing w:line="276" w:lineRule="auto" w:before="0" w:after="0"/>
              <w:jc w:val="left"/>
            </w:pPr>
            <w:r>
              <w:rPr>
                <w:rFonts w:ascii="Times New Roman" w:hAnsi="Times New Roman" w:cs="Times New Roman" w:eastAsia="Times New Roman"/>
                <w:sz w:val="22"/>
              </w:rPr>
              <w:t xml:space="preserve">Mountain only</w:t>
            </w:r>
          </w:p>
        </w:tc>
        <w:tc>
          <w:tcPr/>
          <w:p>
            <w:pPr>
              <w:pStyle w:val="Compact"/>
              <w:spacing w:line="276" w:lineRule="auto" w:before="0" w:after="0"/>
              <w:jc w:val="center"/>
            </w:pPr>
            <w:r>
              <w:rPr>
                <w:rFonts w:ascii="Times New Roman" w:hAnsi="Times New Roman" w:cs="Times New Roman" w:eastAsia="Times New Roman"/>
                <w:sz w:val="22"/>
              </w:rPr>
              <w:t xml:space="preserve">+7.44</w:t>
            </w:r>
          </w:p>
        </w:tc>
        <w:tc>
          <w:tcPr/>
          <w:p>
            <w:pPr>
              <w:pStyle w:val="Compact"/>
              <w:spacing w:line="276" w:lineRule="auto" w:before="0" w:after="0"/>
              <w:jc w:val="center"/>
            </w:pPr>
            <w:r>
              <w:rPr>
                <w:rFonts w:ascii="Times New Roman" w:hAnsi="Times New Roman" w:cs="Times New Roman" w:eastAsia="Times New Roman"/>
                <w:sz w:val="22"/>
              </w:rPr>
              <w:t xml:space="preserve">+8.68</w:t>
            </w:r>
          </w:p>
        </w:tc>
        <w:tc>
          <w:tcPr/>
          <w:p>
            <w:pPr>
              <w:pStyle w:val="Compact"/>
              <w:spacing w:line="276" w:lineRule="auto" w:before="0" w:after="0"/>
              <w:jc w:val="center"/>
            </w:pPr>
            <w:r>
              <w:rPr>
                <w:rFonts w:ascii="Times New Roman" w:hAnsi="Times New Roman" w:cs="Times New Roman" w:eastAsia="Times New Roman"/>
                <w:sz w:val="22"/>
              </w:rPr>
              <w:t xml:space="preserve">0.86×</w:t>
            </w:r>
          </w:p>
        </w:tc>
        <w:tc>
          <w:tcPr/>
          <w:p>
            <w:pPr>
              <w:pStyle w:val="Compact"/>
              <w:spacing w:line="276" w:lineRule="auto" w:before="0" w:after="0"/>
              <w:jc w:val="left"/>
            </w:pPr>
            <w:r>
              <w:rPr>
                <w:rFonts w:ascii="Times New Roman" w:hAnsi="Times New Roman" w:cs="Times New Roman" w:eastAsia="Times New Roman"/>
                <w:sz w:val="22"/>
              </w:rPr>
              <w:t xml:space="preserve">H2 confirmed (katabatic)</w:t>
            </w:r>
          </w:p>
        </w:tc>
      </w:tr>
      <w:tr>
        <w:tc>
          <w:tcPr/>
          <w:p>
            <w:pPr>
              <w:pStyle w:val="Compact"/>
              <w:spacing w:line="276" w:lineRule="auto" w:before="0" w:after="0"/>
              <w:jc w:val="left"/>
            </w:pPr>
            <w:r>
              <w:rPr>
                <w:rFonts w:ascii="Times New Roman" w:hAnsi="Times New Roman" w:cs="Times New Roman" w:eastAsia="Times New Roman"/>
                <w:sz w:val="22"/>
              </w:rPr>
              <w:t xml:space="preserve">Coast + Mountain</w:t>
            </w:r>
          </w:p>
        </w:tc>
        <w:tc>
          <w:tcPr/>
          <w:p>
            <w:pPr>
              <w:pStyle w:val="Compact"/>
              <w:spacing w:line="276" w:lineRule="auto" w:before="0" w:after="0"/>
              <w:jc w:val="center"/>
            </w:pPr>
            <w:r>
              <w:rPr>
                <w:rFonts w:ascii="Times New Roman" w:hAnsi="Times New Roman" w:cs="Times New Roman" w:eastAsia="Times New Roman"/>
                <w:sz w:val="22"/>
              </w:rPr>
              <w:t xml:space="preserve">+12.41</w:t>
            </w:r>
          </w:p>
        </w:tc>
        <w:tc>
          <w:tcPr/>
          <w:p>
            <w:pPr>
              <w:pStyle w:val="Compact"/>
              <w:spacing w:line="276" w:lineRule="auto" w:before="0" w:after="0"/>
              <w:jc w:val="center"/>
            </w:pPr>
            <w:r>
              <w:rPr>
                <w:rFonts w:ascii="Times New Roman" w:hAnsi="Times New Roman" w:cs="Times New Roman" w:eastAsia="Times New Roman"/>
                <w:sz w:val="22"/>
              </w:rPr>
              <w:t xml:space="preserve">+11.47</w:t>
            </w:r>
          </w:p>
        </w:tc>
        <w:tc>
          <w:tcPr/>
          <w:p>
            <w:pPr>
              <w:pStyle w:val="Compact"/>
              <w:spacing w:line="276" w:lineRule="auto" w:before="0" w:after="0"/>
              <w:jc w:val="center"/>
            </w:pPr>
            <w:r>
              <w:rPr>
                <w:rFonts w:ascii="Times New Roman" w:hAnsi="Times New Roman" w:cs="Times New Roman" w:eastAsia="Times New Roman"/>
                <w:sz w:val="22"/>
              </w:rPr>
              <w:t xml:space="preserve">1.08×</w:t>
            </w:r>
          </w:p>
        </w:tc>
        <w:tc>
          <w:tcPr/>
          <w:p>
            <w:pPr>
              <w:pStyle w:val="Compact"/>
              <w:spacing w:line="276" w:lineRule="auto" w:before="0" w:after="0"/>
              <w:jc w:val="left"/>
            </w:pPr>
            <w:r>
              <w:rPr>
                <w:rFonts w:ascii="Times New Roman" w:hAnsi="Times New Roman" w:cs="Times New Roman" w:eastAsia="Times New Roman"/>
                <w:sz w:val="22"/>
              </w:rPr>
              <w:t xml:space="preserve">Combined effect stable</w:t>
            </w:r>
          </w:p>
        </w:tc>
      </w:tr>
    </w:tbl>
    <w:p>
      <w:pPr>
        <w:pStyle w:val="BodyText"/>
        <w:spacing w:line="480" w:lineRule="auto" w:before="0" w:after="0"/>
        <w:ind w:firstLine="0"/>
        <w:jc w:val="left"/>
      </w:pPr>
      <w:r>
        <w:rPr>
          <w:rFonts w:ascii="Times New Roman" w:hAnsi="Times New Roman" w:cs="Times New Roman" w:eastAsia="Times New Roman"/>
          <w:sz w:val="24"/>
        </w:rPr>
        <w:t xml:space="preserve">The asymmetric ratios (&gt;1 for coast, &lt;1 for mountain) provide direct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evidence that the two mechanisms operate on different physical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timescales: sea breeze is a daytime advective process, while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is a nighttime gravity-driven process.</w:t>
      </w:r>
    </w:p>
    <w:bookmarkEnd w:id="67"/>
    <w:bookmarkStart w:id="68" w:name="X02ed1b42b14d638d4906bc18a81ee41bfc4c65c"/>
    <w:p>
      <w:pPr>
        <w:pStyle w:val="Heading2"/>
        <w:spacing w:line="480" w:lineRule="auto" w:before="360" w:after="180"/>
        <w:ind w:firstLine="0"/>
        <w:jc w:val="left"/>
      </w:pPr>
      <w:r>
        <w:rPr>
          <w:rFonts w:ascii="Times New Roman" w:hAnsi="Times New Roman" w:cs="Times New Roman" w:eastAsia="Times New Roman"/>
          <w:b/>
          <w:sz w:val="24"/>
        </w:rPr>
        <w:t xml:space="preserve">Table 9. Phase 7 (L2) — Seasonal robustness of geographic mechanism.</w:t>
      </w:r>
    </w:p>
    <w:tbl>
      <w:tblPr>
        <w:tblStyle w:val="Table"/>
        <w:tblW w:type="pct" w:w="5000"/>
        <w:tblLayout w:type="fixed"/>
        <w:tblLook w:firstRow="1" w:lastRow="0" w:firstColumn="0" w:lastColumn="0" w:noHBand="0" w:noVBand="0" w:val="0020"/>
      </w:tblPr>
      <w:tblGrid>
        <w:gridCol w:w="586"/>
        <w:gridCol w:w="1246"/>
        <w:gridCol w:w="733"/>
        <w:gridCol w:w="1466"/>
        <w:gridCol w:w="806"/>
        <w:gridCol w:w="1100"/>
        <w:gridCol w:w="1100"/>
        <w:gridCol w:w="88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Season</w:t>
            </w:r>
          </w:p>
        </w:tc>
        <w:tc>
          <w:tcPr/>
          <w:p>
            <w:pPr>
              <w:pStyle w:val="Compact"/>
              <w:spacing w:line="276" w:lineRule="auto" w:before="0" w:after="0"/>
              <w:jc w:val="center"/>
            </w:pPr>
            <w:r>
              <w:rPr>
                <w:rFonts w:ascii="Times New Roman" w:hAnsi="Times New Roman" w:cs="Times New Roman" w:eastAsia="Times New Roman"/>
                <w:sz w:val="22"/>
              </w:rPr>
              <w:t xml:space="preserve">UTCI range (°C)</w:t>
            </w:r>
          </w:p>
        </w:tc>
        <w:tc>
          <w:tcPr/>
          <w:p>
            <w:pPr>
              <w:pStyle w:val="Compact"/>
              <w:spacing w:line="276" w:lineRule="auto" w:before="0" w:after="0"/>
              <w:jc w:val="center"/>
            </w:pPr>
            <w:r>
              <w:rPr>
                <w:rFonts w:ascii="Times New Roman" w:hAnsi="Times New Roman" w:cs="Times New Roman" w:eastAsia="Times New Roman"/>
                <w:sz w:val="22"/>
              </w:rPr>
              <w:t xml:space="preserve">Mean UTCI</w:t>
            </w:r>
          </w:p>
        </w:tc>
        <w:tc>
          <w:tcPr/>
          <w:p>
            <w:pPr>
              <w:pStyle w:val="Compact"/>
              <w:spacing w:line="276" w:lineRule="auto" w:before="0" w:after="0"/>
              <w:jc w:val="center"/>
            </w:pPr>
            <m:oMath>
              <m:sSub>
                <m:e>
                  <m:r>
                    <m:t>G</m:t>
                  </m:r>
                </m:e>
                <m:sub>
                  <m:r>
                    <m:rPr>
                      <m:nor/>
                      <m:sty m:val="p"/>
                    </m:rPr>
                    <m:t>total</m:t>
                  </m:r>
                </m:sub>
              </m:sSub>
            </m:oMath>
          </w:p>
        </w:tc>
        <w:tc>
          <w:tcPr/>
          <w:p>
            <w:pPr>
              <w:pStyle w:val="Compact"/>
              <w:spacing w:line="276" w:lineRule="auto" w:before="0" w:after="0"/>
              <w:jc w:val="center"/>
            </w:pPr>
            <w:r>
              <w:rPr>
                <w:rFonts w:ascii="Times New Roman" w:hAnsi="Times New Roman" w:cs="Times New Roman" w:eastAsia="Times New Roman"/>
                <w:sz w:val="22"/>
              </w:rPr>
              <w:t xml:space="preserve">Coast (pp)</w:t>
            </w:r>
          </w:p>
        </w:tc>
        <w:tc>
          <w:tcPr/>
          <w:p>
            <w:pPr>
              <w:pStyle w:val="Compact"/>
              <w:spacing w:line="276" w:lineRule="auto" w:before="0" w:after="0"/>
              <w:jc w:val="center"/>
            </w:pPr>
            <w:r>
              <w:rPr>
                <w:rFonts w:ascii="Times New Roman" w:hAnsi="Times New Roman" w:cs="Times New Roman" w:eastAsia="Times New Roman"/>
                <w:sz w:val="22"/>
              </w:rPr>
              <w:t xml:space="preserve">Mountain (pp)</w:t>
            </w:r>
          </w:p>
        </w:tc>
        <w:tc>
          <w:tcPr/>
          <w:p>
            <w:pPr>
              <w:pStyle w:val="Compact"/>
              <w:spacing w:line="276" w:lineRule="auto" w:before="0" w:after="0"/>
              <w:jc w:val="center"/>
            </w:pPr>
            <w:r>
              <w:rPr>
                <w:rFonts w:ascii="Times New Roman" w:hAnsi="Times New Roman" w:cs="Times New Roman" w:eastAsia="Times New Roman"/>
                <w:sz w:val="22"/>
              </w:rPr>
              <w:t xml:space="preserve">Combined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center"/>
            </w:pPr>
            <w:r>
              <w:rPr>
                <w:rFonts w:ascii="Times New Roman" w:hAnsi="Times New Roman" w:cs="Times New Roman" w:eastAsia="Times New Roman"/>
                <w:sz w:val="22"/>
              </w:rPr>
              <w:t xml:space="preserve">Jan (Winter)</w:t>
            </w:r>
          </w:p>
        </w:tc>
        <w:tc>
          <w:tcPr/>
          <w:p>
            <w:pPr>
              <w:pStyle w:val="Compact"/>
              <w:spacing w:line="276" w:lineRule="auto" w:before="0" w:after="0"/>
              <w:jc w:val="center"/>
            </w:pPr>
            <w:r>
              <w:rPr>
                <w:rFonts w:ascii="Times New Roman" w:hAnsi="Times New Roman" w:cs="Times New Roman" w:eastAsia="Times New Roman"/>
                <w:sz w:val="22"/>
              </w:rPr>
              <w:t xml:space="preserve">-8.9 to 31.1</w:t>
            </w:r>
          </w:p>
        </w:tc>
        <w:tc>
          <w:tcPr/>
          <w:p>
            <w:pPr>
              <w:pStyle w:val="Compact"/>
              <w:spacing w:line="276" w:lineRule="auto" w:before="0" w:after="0"/>
              <w:jc w:val="center"/>
            </w:pPr>
            <w:r>
              <w:rPr>
                <w:rFonts w:ascii="Times New Roman" w:hAnsi="Times New Roman" w:cs="Times New Roman" w:eastAsia="Times New Roman"/>
                <w:sz w:val="22"/>
              </w:rPr>
              <w:t xml:space="preserve">13.4</w:t>
            </w:r>
          </w:p>
        </w:tc>
        <w:tc>
          <w:tcPr/>
          <w:p>
            <w:pPr>
              <w:pStyle w:val="Compact"/>
              <w:spacing w:line="276" w:lineRule="auto" w:before="0" w:after="0"/>
              <w:jc w:val="center"/>
            </w:pPr>
            <w:r>
              <w:rPr>
                <w:rFonts w:ascii="Times New Roman" w:hAnsi="Times New Roman" w:cs="Times New Roman" w:eastAsia="Times New Roman"/>
                <w:sz w:val="22"/>
              </w:rPr>
              <w:t xml:space="preserve">0.331</w:t>
            </w:r>
          </w:p>
        </w:tc>
        <w:tc>
          <w:tcPr/>
          <w:p>
            <w:pPr>
              <w:pStyle w:val="Compact"/>
              <w:spacing w:line="276" w:lineRule="auto" w:before="0" w:after="0"/>
              <w:jc w:val="center"/>
            </w:pPr>
            <w:r>
              <w:rPr>
                <w:rFonts w:ascii="Times New Roman" w:hAnsi="Times New Roman" w:cs="Times New Roman" w:eastAsia="Times New Roman"/>
                <w:sz w:val="22"/>
              </w:rPr>
              <w:t xml:space="preserve">+3.43</w:t>
            </w:r>
          </w:p>
        </w:tc>
        <w:tc>
          <w:tcPr/>
          <w:p>
            <w:pPr>
              <w:pStyle w:val="Compact"/>
              <w:spacing w:line="276" w:lineRule="auto" w:before="0" w:after="0"/>
              <w:jc w:val="center"/>
            </w:pPr>
            <w:r>
              <w:rPr>
                <w:rFonts w:ascii="Times New Roman" w:hAnsi="Times New Roman" w:cs="Times New Roman" w:eastAsia="Times New Roman"/>
                <w:sz w:val="22"/>
              </w:rPr>
              <w:t xml:space="preserve">+2.65</w:t>
            </w:r>
          </w:p>
        </w:tc>
        <w:tc>
          <w:tcPr/>
          <w:p>
            <w:pPr>
              <w:pStyle w:val="Compact"/>
              <w:spacing w:line="276" w:lineRule="auto" w:before="0" w:after="0"/>
              <w:jc w:val="center"/>
            </w:pPr>
            <w:r>
              <w:rPr>
                <w:rFonts w:ascii="Times New Roman" w:hAnsi="Times New Roman" w:cs="Times New Roman" w:eastAsia="Times New Roman"/>
                <w:b/>
                <w:bCs/>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Apr (Spring)</w:t>
            </w:r>
          </w:p>
        </w:tc>
        <w:tc>
          <w:tcPr/>
          <w:p>
            <w:pPr>
              <w:pStyle w:val="Compact"/>
              <w:spacing w:line="276" w:lineRule="auto" w:before="0" w:after="0"/>
              <w:jc w:val="center"/>
            </w:pPr>
            <w:r>
              <w:rPr>
                <w:rFonts w:ascii="Times New Roman" w:hAnsi="Times New Roman" w:cs="Times New Roman" w:eastAsia="Times New Roman"/>
                <w:sz w:val="22"/>
              </w:rPr>
              <w:t xml:space="preserve">1.0 to 34.4</w:t>
            </w:r>
          </w:p>
        </w:tc>
        <w:tc>
          <w:tcPr/>
          <w:p>
            <w:pPr>
              <w:pStyle w:val="Compact"/>
              <w:spacing w:line="276" w:lineRule="auto" w:before="0" w:after="0"/>
              <w:jc w:val="center"/>
            </w:pPr>
            <w:r>
              <w:rPr>
                <w:rFonts w:ascii="Times New Roman" w:hAnsi="Times New Roman" w:cs="Times New Roman" w:eastAsia="Times New Roman"/>
                <w:sz w:val="22"/>
              </w:rPr>
              <w:t xml:space="preserve">20.3</w:t>
            </w:r>
          </w:p>
        </w:tc>
        <w:tc>
          <w:tcPr/>
          <w:p>
            <w:pPr>
              <w:pStyle w:val="Compact"/>
              <w:spacing w:line="276" w:lineRule="auto" w:before="0" w:after="0"/>
              <w:jc w:val="center"/>
            </w:pPr>
            <w:r>
              <w:rPr>
                <w:rFonts w:ascii="Times New Roman" w:hAnsi="Times New Roman" w:cs="Times New Roman" w:eastAsia="Times New Roman"/>
                <w:sz w:val="22"/>
              </w:rPr>
              <w:t xml:space="preserve">0.251</w:t>
            </w:r>
          </w:p>
        </w:tc>
        <w:tc>
          <w:tcPr/>
          <w:p>
            <w:pPr>
              <w:pStyle w:val="Compact"/>
              <w:spacing w:line="276" w:lineRule="auto" w:before="0" w:after="0"/>
              <w:jc w:val="center"/>
            </w:pPr>
            <w:r>
              <w:rPr>
                <w:rFonts w:ascii="Times New Roman" w:hAnsi="Times New Roman" w:cs="Times New Roman" w:eastAsia="Times New Roman"/>
                <w:sz w:val="22"/>
              </w:rPr>
              <w:t xml:space="preserve">+3.56</w:t>
            </w:r>
          </w:p>
        </w:tc>
        <w:tc>
          <w:tcPr/>
          <w:p>
            <w:pPr>
              <w:pStyle w:val="Compact"/>
              <w:spacing w:line="276" w:lineRule="auto" w:before="0" w:after="0"/>
              <w:jc w:val="center"/>
            </w:pPr>
            <w:r>
              <w:rPr>
                <w:rFonts w:ascii="Times New Roman" w:hAnsi="Times New Roman" w:cs="Times New Roman" w:eastAsia="Times New Roman"/>
                <w:sz w:val="22"/>
              </w:rPr>
              <w:t xml:space="preserve">+4.70</w:t>
            </w:r>
          </w:p>
        </w:tc>
        <w:tc>
          <w:tcPr/>
          <w:p>
            <w:pPr>
              <w:pStyle w:val="Compact"/>
              <w:spacing w:line="276" w:lineRule="auto" w:before="0" w:after="0"/>
              <w:jc w:val="center"/>
            </w:pPr>
            <w:r>
              <w:rPr>
                <w:rFonts w:ascii="Times New Roman" w:hAnsi="Times New Roman" w:cs="Times New Roman" w:eastAsia="Times New Roman"/>
                <w:b/>
                <w:bCs/>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Jul (Summer)</w:t>
            </w:r>
          </w:p>
        </w:tc>
        <w:tc>
          <w:tcPr/>
          <w:p>
            <w:pPr>
              <w:pStyle w:val="Compact"/>
              <w:spacing w:line="276" w:lineRule="auto" w:before="0" w:after="0"/>
              <w:jc w:val="center"/>
            </w:pPr>
            <w:r>
              <w:rPr>
                <w:rFonts w:ascii="Times New Roman" w:hAnsi="Times New Roman" w:cs="Times New Roman" w:eastAsia="Times New Roman"/>
                <w:sz w:val="22"/>
              </w:rPr>
              <w:t xml:space="preserve">22.5 to 41.1</w:t>
            </w:r>
          </w:p>
        </w:tc>
        <w:tc>
          <w:tcPr/>
          <w:p>
            <w:pPr>
              <w:pStyle w:val="Compact"/>
              <w:spacing w:line="276" w:lineRule="auto" w:before="0" w:after="0"/>
              <w:jc w:val="center"/>
            </w:pPr>
            <w:r>
              <w:rPr>
                <w:rFonts w:ascii="Times New Roman" w:hAnsi="Times New Roman" w:cs="Times New Roman" w:eastAsia="Times New Roman"/>
                <w:sz w:val="22"/>
              </w:rPr>
              <w:t xml:space="preserve">31.0</w:t>
            </w:r>
          </w:p>
        </w:tc>
        <w:tc>
          <w:tcPr/>
          <w:p>
            <w:pPr>
              <w:pStyle w:val="Compact"/>
              <w:spacing w:line="276" w:lineRule="auto" w:before="0" w:after="0"/>
              <w:jc w:val="center"/>
            </w:pPr>
            <w:r>
              <w:rPr>
                <w:rFonts w:ascii="Times New Roman" w:hAnsi="Times New Roman" w:cs="Times New Roman" w:eastAsia="Times New Roman"/>
                <w:sz w:val="22"/>
              </w:rPr>
              <w:t xml:space="preserve">0.055</w:t>
            </w:r>
          </w:p>
        </w:tc>
        <w:tc>
          <w:tcPr/>
          <w:p>
            <w:pPr>
              <w:pStyle w:val="Compact"/>
              <w:spacing w:line="276" w:lineRule="auto" w:before="0" w:after="0"/>
              <w:jc w:val="center"/>
            </w:pPr>
            <w:r>
              <w:rPr>
                <w:rFonts w:ascii="Times New Roman" w:hAnsi="Times New Roman" w:cs="Times New Roman" w:eastAsia="Times New Roman"/>
                <w:sz w:val="22"/>
              </w:rPr>
              <w:t xml:space="preserve">+3.54</w:t>
            </w:r>
          </w:p>
        </w:tc>
        <w:tc>
          <w:tcPr/>
          <w:p>
            <w:pPr>
              <w:pStyle w:val="Compact"/>
              <w:spacing w:line="276" w:lineRule="auto" w:before="0" w:after="0"/>
              <w:jc w:val="center"/>
            </w:pPr>
            <w:r>
              <w:rPr>
                <w:rFonts w:ascii="Times New Roman" w:hAnsi="Times New Roman" w:cs="Times New Roman" w:eastAsia="Times New Roman"/>
                <w:sz w:val="22"/>
              </w:rPr>
              <w:t xml:space="preserve">+8.63</w:t>
            </w:r>
          </w:p>
        </w:tc>
        <w:tc>
          <w:tcPr/>
          <w:p>
            <w:pPr>
              <w:pStyle w:val="Compact"/>
              <w:spacing w:line="276" w:lineRule="auto" w:before="0" w:after="0"/>
              <w:jc w:val="center"/>
            </w:pPr>
            <w:r>
              <w:rPr>
                <w:rFonts w:ascii="Times New Roman" w:hAnsi="Times New Roman" w:cs="Times New Roman" w:eastAsia="Times New Roman"/>
                <w:b/>
                <w:bCs/>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Oct (Autumn)</w:t>
            </w:r>
          </w:p>
        </w:tc>
        <w:tc>
          <w:tcPr/>
          <w:p>
            <w:pPr>
              <w:pStyle w:val="Compact"/>
              <w:spacing w:line="276" w:lineRule="auto" w:before="0" w:after="0"/>
              <w:jc w:val="center"/>
            </w:pPr>
            <w:r>
              <w:rPr>
                <w:rFonts w:ascii="Times New Roman" w:hAnsi="Times New Roman" w:cs="Times New Roman" w:eastAsia="Times New Roman"/>
                <w:sz w:val="22"/>
              </w:rPr>
              <w:t xml:space="preserve">10.2 to 38.1</w:t>
            </w:r>
          </w:p>
        </w:tc>
        <w:tc>
          <w:tcPr/>
          <w:p>
            <w:pPr>
              <w:pStyle w:val="Compact"/>
              <w:spacing w:line="276" w:lineRule="auto" w:before="0" w:after="0"/>
              <w:jc w:val="center"/>
            </w:pPr>
            <w:r>
              <w:rPr>
                <w:rFonts w:ascii="Times New Roman" w:hAnsi="Times New Roman" w:cs="Times New Roman" w:eastAsia="Times New Roman"/>
                <w:sz w:val="22"/>
              </w:rPr>
              <w:t xml:space="preserve">22.1</w:t>
            </w:r>
          </w:p>
        </w:tc>
        <w:tc>
          <w:tcPr/>
          <w:p>
            <w:pPr>
              <w:pStyle w:val="Compact"/>
              <w:spacing w:line="276" w:lineRule="auto" w:before="0" w:after="0"/>
              <w:jc w:val="center"/>
            </w:pPr>
            <w:r>
              <w:rPr>
                <w:rFonts w:ascii="Times New Roman" w:hAnsi="Times New Roman" w:cs="Times New Roman" w:eastAsia="Times New Roman"/>
                <w:sz w:val="22"/>
              </w:rPr>
              <w:t xml:space="preserve">0.121</w:t>
            </w:r>
          </w:p>
        </w:tc>
        <w:tc>
          <w:tcPr/>
          <w:p>
            <w:pPr>
              <w:pStyle w:val="Compact"/>
              <w:spacing w:line="276" w:lineRule="auto" w:before="0" w:after="0"/>
              <w:jc w:val="center"/>
            </w:pPr>
            <w:r>
              <w:rPr>
                <w:rFonts w:ascii="Times New Roman" w:hAnsi="Times New Roman" w:cs="Times New Roman" w:eastAsia="Times New Roman"/>
                <w:sz w:val="22"/>
              </w:rPr>
              <w:t xml:space="preserve">+3.55</w:t>
            </w:r>
          </w:p>
        </w:tc>
        <w:tc>
          <w:tcPr/>
          <w:p>
            <w:pPr>
              <w:pStyle w:val="Compact"/>
              <w:spacing w:line="276" w:lineRule="auto" w:before="0" w:after="0"/>
              <w:jc w:val="center"/>
            </w:pPr>
            <w:r>
              <w:rPr>
                <w:rFonts w:ascii="Times New Roman" w:hAnsi="Times New Roman" w:cs="Times New Roman" w:eastAsia="Times New Roman"/>
                <w:sz w:val="22"/>
              </w:rPr>
              <w:t xml:space="preserve">+5.21</w:t>
            </w:r>
          </w:p>
        </w:tc>
        <w:tc>
          <w:tcPr/>
          <w:p>
            <w:pPr>
              <w:pStyle w:val="Compact"/>
              <w:spacing w:line="276" w:lineRule="auto" w:before="0" w:after="0"/>
              <w:jc w:val="center"/>
            </w:pPr>
            <w:r>
              <w:rPr>
                <w:rFonts w:ascii="Times New Roman" w:hAnsi="Times New Roman" w:cs="Times New Roman" w:eastAsia="Times New Roman"/>
                <w:b/>
                <w:bCs/>
                <w:sz w:val="22"/>
              </w:rPr>
              <w:t xml:space="preserve">+8.47</w:t>
            </w:r>
          </w:p>
        </w:tc>
        <w:tc>
          <w:tcPr/>
          <w:p>
            <w:pPr>
              <w:pStyle w:val="Compact"/>
              <w:spacing w:line="276" w:lineRule="auto" w:before="0" w:after="0"/>
              <w:jc w:val="center"/>
            </w:pPr>
            <w:r>
              <w:rPr>
                <w:rFonts w:ascii="Times New Roman" w:hAnsi="Times New Roman" w:cs="Times New Roman" w:eastAsia="Times New Roman"/>
                <w:sz w:val="22"/>
              </w:rPr>
              <w:t xml:space="preserve">✓</w:t>
            </w:r>
          </w:p>
        </w:tc>
      </w:tr>
    </w:tbl>
    <w:p>
      <w:pPr>
        <w:pStyle w:val="BodyText"/>
        <w:spacing w:line="480" w:lineRule="auto" w:before="0" w:after="0"/>
        <w:ind w:firstLine="0"/>
        <w:jc w:val="left"/>
      </w:pPr>
      <w:r>
        <w:rPr>
          <w:rFonts w:ascii="Times New Roman" w:hAnsi="Times New Roman" w:cs="Times New Roman" w:eastAsia="Times New Roman"/>
          <w:sz w:val="24"/>
        </w:rPr>
        <w:t xml:space="preserve">The Coast + Mountain combined scheme exceeds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all four seasons. Coast contribution is remarkably stable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(+3.43 to +3.56 pp); mountain contribution scales with seasonal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stress (×3.3 between winter and summer).</w:t>
      </w:r>
    </w:p>
    <w:bookmarkEnd w:id="68"/>
    <w:bookmarkStart w:id="69" w:name="X7f46c58f4d8ef7a93d29f80a18025ef7048ba29"/>
    <w:p>
      <w:pPr>
        <w:pStyle w:val="Heading2"/>
        <w:spacing w:line="480" w:lineRule="auto" w:before="360" w:after="180"/>
        <w:ind w:firstLine="0"/>
        <w:jc w:val="left"/>
      </w:pPr>
      <w:r>
        <w:rPr>
          <w:rFonts w:ascii="Times New Roman" w:hAnsi="Times New Roman" w:cs="Times New Roman" w:eastAsia="Times New Roman"/>
          <w:b/>
          <w:sz w:val="24"/>
        </w:rPr>
        <w:t xml:space="preserve">Table 10. Phase 8 — Cross-city Coast+Mountain Gini reduction by season (3 GBA cities).</w:t>
      </w:r>
    </w:p>
    <w:tbl>
      <w:tblPr>
        <w:tblStyle w:val="Table"/>
        <w:tblW w:type="pct" w:w="5000"/>
        <w:tblLayout w:type="fixed"/>
        <w:tblLook w:firstRow="1" w:lastRow="0" w:firstColumn="0" w:lastColumn="0" w:noHBand="0" w:noVBand="0" w:val="0020"/>
      </w:tblPr>
      <w:tblGrid>
        <w:gridCol w:w="470"/>
        <w:gridCol w:w="705"/>
        <w:gridCol w:w="940"/>
        <w:gridCol w:w="862"/>
        <w:gridCol w:w="1019"/>
        <w:gridCol w:w="1019"/>
        <w:gridCol w:w="1019"/>
        <w:gridCol w:w="1019"/>
        <w:gridCol w:w="862"/>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City</w:t>
            </w:r>
          </w:p>
        </w:tc>
        <w:tc>
          <w:tcPr/>
          <w:p>
            <w:pPr>
              <w:pStyle w:val="Compact"/>
              <w:spacing w:line="276" w:lineRule="auto" w:before="0" w:after="0"/>
              <w:jc w:val="center"/>
            </w:pPr>
            <w:r>
              <w:rPr>
                <w:rFonts w:ascii="Times New Roman" w:hAnsi="Times New Roman" w:cs="Times New Roman" w:eastAsia="Times New Roman"/>
                <w:sz w:val="22"/>
              </w:rPr>
              <w:t xml:space="preserve">Water %</w:t>
            </w:r>
          </w:p>
        </w:tc>
        <w:tc>
          <w:tcPr/>
          <w:p>
            <w:pPr>
              <w:pStyle w:val="Compact"/>
              <w:spacing w:line="276" w:lineRule="auto" w:before="0" w:after="0"/>
              <w:jc w:val="center"/>
            </w:pPr>
            <w:r>
              <w:rPr>
                <w:rFonts w:ascii="Times New Roman" w:hAnsi="Times New Roman" w:cs="Times New Roman" w:eastAsia="Times New Roman"/>
                <w:sz w:val="22"/>
              </w:rPr>
              <w:t xml:space="preserve">Mountain %</w:t>
            </w:r>
          </w:p>
        </w:tc>
        <w:tc>
          <w:tcPr/>
          <w:p>
            <w:pPr>
              <w:pStyle w:val="Compact"/>
              <w:spacing w:line="276" w:lineRule="auto" w:before="0" w:after="0"/>
              <w:jc w:val="center"/>
            </w:pPr>
            <w:r>
              <w:rPr>
                <w:rFonts w:ascii="Times New Roman" w:hAnsi="Times New Roman" w:cs="Times New Roman" w:eastAsia="Times New Roman"/>
                <w:sz w:val="22"/>
              </w:rPr>
              <w:t xml:space="preserve">Built-up %</w:t>
            </w:r>
          </w:p>
        </w:tc>
        <w:tc>
          <w:tcPr/>
          <w:p>
            <w:pPr>
              <w:pStyle w:val="Compact"/>
              <w:spacing w:line="276" w:lineRule="auto" w:before="0" w:after="0"/>
              <w:jc w:val="center"/>
            </w:pPr>
            <w:r>
              <w:rPr>
                <w:rFonts w:ascii="Times New Roman" w:hAnsi="Times New Roman" w:cs="Times New Roman" w:eastAsia="Times New Roman"/>
                <w:sz w:val="22"/>
              </w:rPr>
              <w:t xml:space="preserve">Winter (pp)</w:t>
            </w:r>
          </w:p>
        </w:tc>
        <w:tc>
          <w:tcPr/>
          <w:p>
            <w:pPr>
              <w:pStyle w:val="Compact"/>
              <w:spacing w:line="276" w:lineRule="auto" w:before="0" w:after="0"/>
              <w:jc w:val="center"/>
            </w:pPr>
            <w:r>
              <w:rPr>
                <w:rFonts w:ascii="Times New Roman" w:hAnsi="Times New Roman" w:cs="Times New Roman" w:eastAsia="Times New Roman"/>
                <w:sz w:val="22"/>
              </w:rPr>
              <w:t xml:space="preserve">Spring (pp)</w:t>
            </w:r>
          </w:p>
        </w:tc>
        <w:tc>
          <w:tcPr/>
          <w:p>
            <w:pPr>
              <w:pStyle w:val="Compact"/>
              <w:spacing w:line="276" w:lineRule="auto" w:before="0" w:after="0"/>
              <w:jc w:val="center"/>
            </w:pPr>
            <w:r>
              <w:rPr>
                <w:rFonts w:ascii="Times New Roman" w:hAnsi="Times New Roman" w:cs="Times New Roman" w:eastAsia="Times New Roman"/>
                <w:sz w:val="22"/>
              </w:rPr>
              <w:t xml:space="preserve">Summer (pp)</w:t>
            </w:r>
          </w:p>
        </w:tc>
        <w:tc>
          <w:tcPr/>
          <w:p>
            <w:pPr>
              <w:pStyle w:val="Compact"/>
              <w:spacing w:line="276" w:lineRule="auto" w:before="0" w:after="0"/>
              <w:jc w:val="center"/>
            </w:pPr>
            <w:r>
              <w:rPr>
                <w:rFonts w:ascii="Times New Roman" w:hAnsi="Times New Roman" w:cs="Times New Roman" w:eastAsia="Times New Roman"/>
                <w:sz w:val="22"/>
              </w:rPr>
              <w:t xml:space="preserve">Autumn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center"/>
            </w:pPr>
            <w:r>
              <w:rPr>
                <w:rFonts w:ascii="Times New Roman" w:hAnsi="Times New Roman" w:cs="Times New Roman" w:eastAsia="Times New Roman"/>
                <w:b/>
                <w:bCs/>
                <w:sz w:val="22"/>
              </w:rPr>
              <w:t xml:space="preserve">Shenzhen</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41.5</w:t>
            </w:r>
          </w:p>
        </w:tc>
        <w:tc>
          <w:tcPr/>
          <w:p>
            <w:pPr>
              <w:pStyle w:val="Compact"/>
              <w:spacing w:line="276" w:lineRule="auto" w:before="0" w:after="0"/>
              <w:jc w:val="center"/>
            </w:pPr>
            <w:r>
              <w:rPr>
                <w:rFonts w:ascii="Times New Roman" w:hAnsi="Times New Roman" w:cs="Times New Roman" w:eastAsia="Times New Roman"/>
                <w:sz w:val="22"/>
              </w:rPr>
              <w:t xml:space="preserve">54.6</w:t>
            </w:r>
          </w:p>
        </w:tc>
        <w:tc>
          <w:tcPr/>
          <w:p>
            <w:pPr>
              <w:pStyle w:val="Compact"/>
              <w:spacing w:line="276" w:lineRule="auto" w:before="0" w:after="0"/>
              <w:jc w:val="center"/>
            </w:pPr>
            <w:r>
              <w:rPr>
                <w:rFonts w:ascii="Times New Roman" w:hAnsi="Times New Roman" w:cs="Times New Roman" w:eastAsia="Times New Roman"/>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+8.47</w:t>
            </w:r>
          </w:p>
        </w:tc>
        <w:tc>
          <w:tcPr/>
          <w:p>
            <w:pPr>
              <w:pStyle w:val="Compact"/>
              <w:spacing w:line="276" w:lineRule="auto" w:before="0" w:after="0"/>
              <w:jc w:val="center"/>
            </w:pPr>
            <w:r>
              <w:rPr>
                <w:rFonts w:ascii="Times New Roman" w:hAnsi="Times New Roman" w:cs="Times New Roman" w:eastAsia="Times New Roman"/>
                <w:b/>
                <w:bCs/>
                <w:sz w:val="22"/>
              </w:rPr>
              <w:t xml:space="preserve">4/4</w:t>
            </w:r>
          </w:p>
        </w:tc>
      </w:tr>
      <w:tr>
        <w:tc>
          <w:tcPr/>
          <w:p>
            <w:pPr>
              <w:pStyle w:val="Compact"/>
              <w:spacing w:line="276" w:lineRule="auto" w:before="0" w:after="0"/>
              <w:jc w:val="center"/>
            </w:pPr>
            <w:r>
              <w:rPr>
                <w:rFonts w:ascii="Times New Roman" w:hAnsi="Times New Roman" w:cs="Times New Roman" w:eastAsia="Times New Roman"/>
                <w:b/>
                <w:bCs/>
                <w:sz w:val="22"/>
              </w:rPr>
              <w:t xml:space="preserve">Dongguan</w:t>
            </w:r>
          </w:p>
        </w:tc>
        <w:tc>
          <w:tcPr/>
          <w:p>
            <w:pPr>
              <w:pStyle w:val="Compact"/>
              <w:spacing w:line="276" w:lineRule="auto" w:before="0" w:after="0"/>
              <w:jc w:val="center"/>
            </w:pPr>
            <w:r>
              <w:rPr>
                <w:rFonts w:ascii="Times New Roman" w:hAnsi="Times New Roman" w:cs="Times New Roman" w:eastAsia="Times New Roman"/>
                <w:sz w:val="22"/>
              </w:rPr>
              <w:t xml:space="preserve">6.6</w:t>
            </w:r>
          </w:p>
        </w:tc>
        <w:tc>
          <w:tcPr/>
          <w:p>
            <w:pPr>
              <w:pStyle w:val="Compact"/>
              <w:spacing w:line="276" w:lineRule="auto" w:before="0" w:after="0"/>
              <w:jc w:val="center"/>
            </w:pPr>
            <w:r>
              <w:rPr>
                <w:rFonts w:ascii="Times New Roman" w:hAnsi="Times New Roman" w:cs="Times New Roman" w:eastAsia="Times New Roman"/>
                <w:sz w:val="22"/>
              </w:rPr>
              <w:t xml:space="preserve">15.9</w:t>
            </w:r>
          </w:p>
        </w:tc>
        <w:tc>
          <w:tcPr/>
          <w:p>
            <w:pPr>
              <w:pStyle w:val="Compact"/>
              <w:spacing w:line="276" w:lineRule="auto" w:before="0" w:after="0"/>
              <w:jc w:val="center"/>
            </w:pPr>
            <w:r>
              <w:rPr>
                <w:rFonts w:ascii="Times New Roman" w:hAnsi="Times New Roman" w:cs="Times New Roman" w:eastAsia="Times New Roman"/>
                <w:sz w:val="22"/>
              </w:rPr>
              <w:t xml:space="preserve">66.7</w:t>
            </w:r>
          </w:p>
        </w:tc>
        <w:tc>
          <w:tcPr/>
          <w:p>
            <w:pPr>
              <w:pStyle w:val="Compact"/>
              <w:spacing w:line="276" w:lineRule="auto" w:before="0" w:after="0"/>
              <w:jc w:val="center"/>
            </w:pPr>
            <w:r>
              <w:rPr>
                <w:rFonts w:ascii="Times New Roman" w:hAnsi="Times New Roman" w:cs="Times New Roman" w:eastAsia="Times New Roman"/>
                <w:sz w:val="22"/>
              </w:rPr>
              <w:t xml:space="preserve">+4.92</w:t>
            </w:r>
          </w:p>
        </w:tc>
        <w:tc>
          <w:tcPr/>
          <w:p>
            <w:pPr>
              <w:pStyle w:val="Compact"/>
              <w:spacing w:line="276" w:lineRule="auto" w:before="0" w:after="0"/>
              <w:jc w:val="center"/>
            </w:pPr>
            <w:r>
              <w:rPr>
                <w:rFonts w:ascii="Times New Roman" w:hAnsi="Times New Roman" w:cs="Times New Roman" w:eastAsia="Times New Roman"/>
                <w:sz w:val="22"/>
              </w:rPr>
              <w:t xml:space="preserve">+6.35</w:t>
            </w:r>
          </w:p>
        </w:tc>
        <w:tc>
          <w:tcPr/>
          <w:p>
            <w:pPr>
              <w:pStyle w:val="Compact"/>
              <w:spacing w:line="276" w:lineRule="auto" w:before="0" w:after="0"/>
              <w:jc w:val="center"/>
            </w:pPr>
            <w:r>
              <w:rPr>
                <w:rFonts w:ascii="Times New Roman" w:hAnsi="Times New Roman" w:cs="Times New Roman" w:eastAsia="Times New Roman"/>
                <w:sz w:val="22"/>
              </w:rPr>
              <w:t xml:space="preserve">+6.87</w:t>
            </w:r>
          </w:p>
        </w:tc>
        <w:tc>
          <w:tcPr/>
          <w:p>
            <w:pPr>
              <w:pStyle w:val="Compact"/>
              <w:spacing w:line="276" w:lineRule="auto" w:before="0" w:after="0"/>
              <w:jc w:val="center"/>
            </w:pPr>
            <w:r>
              <w:rPr>
                <w:rFonts w:ascii="Times New Roman" w:hAnsi="Times New Roman" w:cs="Times New Roman" w:eastAsia="Times New Roman"/>
                <w:sz w:val="22"/>
              </w:rPr>
              <w:t xml:space="preserve">+6.13</w:t>
            </w:r>
          </w:p>
        </w:tc>
        <w:tc>
          <w:tcPr/>
          <w:p>
            <w:pPr>
              <w:pStyle w:val="Compact"/>
              <w:spacing w:line="276" w:lineRule="auto" w:before="0" w:after="0"/>
              <w:jc w:val="center"/>
            </w:pPr>
            <w:r>
              <w:rPr>
                <w:rFonts w:ascii="Times New Roman" w:hAnsi="Times New Roman" w:cs="Times New Roman" w:eastAsia="Times New Roman"/>
                <w:b/>
                <w:bCs/>
                <w:sz w:val="22"/>
              </w:rPr>
              <w:t xml:space="preserve">3/4</w:t>
            </w:r>
          </w:p>
        </w:tc>
      </w:tr>
      <w:tr>
        <w:tc>
          <w:tcPr/>
          <w:p>
            <w:pPr>
              <w:pStyle w:val="Compact"/>
              <w:spacing w:line="276" w:lineRule="auto" w:before="0" w:after="0"/>
              <w:jc w:val="center"/>
            </w:pPr>
            <w:r>
              <w:rPr>
                <w:rFonts w:ascii="Times New Roman" w:hAnsi="Times New Roman" w:cs="Times New Roman" w:eastAsia="Times New Roman"/>
                <w:sz w:val="22"/>
              </w:rPr>
              <w:t xml:space="preserve">Guangzhou</w:t>
            </w:r>
          </w:p>
        </w:tc>
        <w:tc>
          <w:tcPr/>
          <w:p>
            <w:pPr>
              <w:pStyle w:val="Compact"/>
              <w:spacing w:line="276" w:lineRule="auto" w:before="0" w:after="0"/>
              <w:jc w:val="center"/>
            </w:pPr>
            <w:r>
              <w:rPr>
                <w:rFonts w:ascii="Times New Roman" w:hAnsi="Times New Roman" w:cs="Times New Roman" w:eastAsia="Times New Roman"/>
                <w:sz w:val="22"/>
              </w:rPr>
              <w:t xml:space="preserve">4.1</w:t>
            </w:r>
          </w:p>
        </w:tc>
        <w:tc>
          <w:tcPr/>
          <w:p>
            <w:pPr>
              <w:pStyle w:val="Compact"/>
              <w:spacing w:line="276" w:lineRule="auto" w:before="0" w:after="0"/>
              <w:jc w:val="center"/>
            </w:pPr>
            <w:r>
              <w:rPr>
                <w:rFonts w:ascii="Times New Roman" w:hAnsi="Times New Roman" w:cs="Times New Roman" w:eastAsia="Times New Roman"/>
                <w:sz w:val="22"/>
              </w:rPr>
              <w:t xml:space="preserve">36.4</w:t>
            </w:r>
          </w:p>
        </w:tc>
        <w:tc>
          <w:tcPr/>
          <w:p>
            <w:pPr>
              <w:pStyle w:val="Compact"/>
              <w:spacing w:line="276" w:lineRule="auto" w:before="0" w:after="0"/>
              <w:jc w:val="center"/>
            </w:pPr>
            <w:r>
              <w:rPr>
                <w:rFonts w:ascii="Times New Roman" w:hAnsi="Times New Roman" w:cs="Times New Roman" w:eastAsia="Times New Roman"/>
                <w:sz w:val="22"/>
              </w:rPr>
              <w:t xml:space="preserve">51.5</w:t>
            </w:r>
          </w:p>
        </w:tc>
        <w:tc>
          <w:tcPr/>
          <w:p>
            <w:pPr>
              <w:pStyle w:val="Compact"/>
              <w:spacing w:line="276" w:lineRule="auto" w:before="0" w:after="0"/>
              <w:jc w:val="center"/>
            </w:pPr>
            <w:r>
              <w:rPr>
                <w:rFonts w:ascii="Times New Roman" w:hAnsi="Times New Roman" w:cs="Times New Roman" w:eastAsia="Times New Roman"/>
                <w:sz w:val="22"/>
              </w:rPr>
              <w:t xml:space="preserve">+1.67</w:t>
            </w:r>
          </w:p>
        </w:tc>
        <w:tc>
          <w:tcPr/>
          <w:p>
            <w:pPr>
              <w:pStyle w:val="Compact"/>
              <w:spacing w:line="276" w:lineRule="auto" w:before="0" w:after="0"/>
              <w:jc w:val="center"/>
            </w:pPr>
            <w:r>
              <w:rPr>
                <w:rFonts w:ascii="Times New Roman" w:hAnsi="Times New Roman" w:cs="Times New Roman" w:eastAsia="Times New Roman"/>
                <w:sz w:val="22"/>
              </w:rPr>
              <w:t xml:space="preserve">+1.74</w:t>
            </w:r>
          </w:p>
        </w:tc>
        <w:tc>
          <w:tcPr/>
          <w:p>
            <w:pPr>
              <w:pStyle w:val="Compact"/>
              <w:spacing w:line="276" w:lineRule="auto" w:before="0" w:after="0"/>
              <w:jc w:val="center"/>
            </w:pPr>
            <w:r>
              <w:rPr>
                <w:rFonts w:ascii="Times New Roman" w:hAnsi="Times New Roman" w:cs="Times New Roman" w:eastAsia="Times New Roman"/>
                <w:sz w:val="22"/>
              </w:rPr>
              <w:t xml:space="preserve">+3.17</w:t>
            </w:r>
          </w:p>
        </w:tc>
        <w:tc>
          <w:tcPr/>
          <w:p>
            <w:pPr>
              <w:pStyle w:val="Compact"/>
              <w:spacing w:line="276" w:lineRule="auto" w:before="0" w:after="0"/>
              <w:jc w:val="center"/>
            </w:pPr>
            <w:r>
              <w:rPr>
                <w:rFonts w:ascii="Times New Roman" w:hAnsi="Times New Roman" w:cs="Times New Roman" w:eastAsia="Times New Roman"/>
                <w:sz w:val="22"/>
              </w:rPr>
              <w:t xml:space="preserve">+2.08</w:t>
            </w:r>
          </w:p>
        </w:tc>
        <w:tc>
          <w:tcPr/>
          <w:p>
            <w:pPr>
              <w:pStyle w:val="Compact"/>
              <w:spacing w:line="276" w:lineRule="auto" w:before="0" w:after="0"/>
              <w:jc w:val="center"/>
            </w:pPr>
            <w:r>
              <w:rPr>
                <w:rFonts w:ascii="Times New Roman" w:hAnsi="Times New Roman" w:cs="Times New Roman" w:eastAsia="Times New Roman"/>
                <w:sz w:val="22"/>
              </w:rPr>
              <w:t xml:space="preserve">0/4</w:t>
            </w:r>
          </w:p>
        </w:tc>
      </w:tr>
    </w:tbl>
    <w:p>
      <w:pPr>
        <w:pStyle w:val="BodyText"/>
        <w:spacing w:line="480" w:lineRule="auto" w:before="0" w:after="0"/>
        <w:ind w:firstLine="0"/>
        <w:jc w:val="left"/>
      </w:pPr>
      <w:r>
        <w:rPr>
          <w:rFonts w:ascii="Times New Roman" w:hAnsi="Times New Roman" w:cs="Times New Roman" w:eastAsia="Times New Roman"/>
          <w:sz w:val="24"/>
        </w:rPr>
        <w:t xml:space="preserve">Geographic mechanism strength scales with city compactness,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raw mountain or coast coverage. Guangzhou has more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area than Dongguan but a much weaker geographic effect because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 sprawling layout.</w:t>
      </w:r>
    </w:p>
    <w:bookmarkEnd w:id="69"/>
    <w:bookmarkStart w:id="70" w:name="Xa6cd1fb3fb209a3f23e69f174dbaff372b34f72"/>
    <w:p>
      <w:pPr>
        <w:pStyle w:val="Heading2"/>
        <w:spacing w:line="480" w:lineRule="auto" w:before="360" w:after="180"/>
        <w:ind w:firstLine="0"/>
        <w:jc w:val="left"/>
      </w:pPr>
      <w:r>
        <w:rPr>
          <w:rFonts w:ascii="Times New Roman" w:hAnsi="Times New Roman" w:cs="Times New Roman" w:eastAsia="Times New Roman"/>
          <w:b/>
          <w:sz w:val="24"/>
        </w:rPr>
        <w:t xml:space="preserve">Table 5. Topological features per built-up LCZ class.</w:t>
      </w:r>
    </w:p>
    <w:tbl>
      <w:tblPr>
        <w:tblStyle w:val="Table"/>
        <w:tblW w:type="pct" w:w="5000"/>
        <w:tblLayout w:type="fixed"/>
        <w:tblLook w:firstRow="1" w:lastRow="0" w:firstColumn="0" w:lastColumn="0" w:noHBand="0" w:noVBand="0" w:val="0020"/>
      </w:tblPr>
      <w:tblGrid>
        <w:gridCol w:w="495"/>
        <w:gridCol w:w="594"/>
        <w:gridCol w:w="693"/>
        <w:gridCol w:w="990"/>
        <w:gridCol w:w="990"/>
        <w:gridCol w:w="2079"/>
        <w:gridCol w:w="2079"/>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left"/>
            </w:pPr>
            <w:r>
              <w:rPr>
                <w:rFonts w:ascii="Times New Roman" w:hAnsi="Times New Roman" w:cs="Times New Roman" w:eastAsia="Times New Roman"/>
                <w:sz w:val="22"/>
              </w:rPr>
              <w:t xml:space="preserve">Name</w:t>
            </w:r>
          </w:p>
        </w:tc>
        <w:tc>
          <w:tcPr/>
          <w:p>
            <w:pPr>
              <w:pStyle w:val="Compact"/>
              <w:spacing w:line="276" w:lineRule="auto" w:before="0" w:after="0"/>
              <w:jc w:val="right"/>
            </w:pPr>
            <w:r>
              <w:rPr>
                <w:rFonts w:ascii="Times New Roman" w:hAnsi="Times New Roman" w:cs="Times New Roman" w:eastAsia="Times New Roman"/>
                <w:sz w:val="22"/>
              </w:rPr>
              <w:t xml:space="preserve">Cells</w:t>
            </w:r>
          </w:p>
        </w:tc>
        <w:tc>
          <w:tcPr/>
          <w:p>
            <w:pPr>
              <w:pStyle w:val="Compact"/>
              <w:spacing w:line="276" w:lineRule="auto" w:before="0" w:after="0"/>
              <w:jc w:val="right"/>
            </w:pPr>
            <m:oMath>
              <m:sSub>
                <m:e>
                  <m:r>
                    <m:t>β</m:t>
                  </m:r>
                </m:e>
                <m:sub>
                  <m:r>
                    <m:t>0</m:t>
                  </m:r>
                </m:sub>
              </m:sSub>
            </m:oMath>
          </w:p>
        </w:tc>
        <w:tc>
          <w:tcPr/>
          <w:p>
            <w:pPr>
              <w:pStyle w:val="Compact"/>
              <w:spacing w:line="276" w:lineRule="auto" w:before="0" w:after="0"/>
              <w:jc w:val="right"/>
            </w:pPr>
            <m:oMath>
              <m:sSub>
                <m:e>
                  <m:r>
                    <m:t>β</m:t>
                  </m:r>
                </m:e>
                <m:sub>
                  <m:r>
                    <m:t>1</m:t>
                  </m:r>
                </m:sub>
              </m:sSub>
            </m:oMath>
          </w:p>
        </w:tc>
        <w:tc>
          <w:tcPr/>
          <w:p>
            <w:pPr>
              <w:pStyle w:val="Compact"/>
              <w:spacing w:line="276" w:lineRule="auto" w:before="0" w:after="0"/>
              <w:jc w:val="right"/>
            </w:pPr>
            <w:r>
              <w:rPr>
                <w:rFonts w:ascii="Times New Roman" w:hAnsi="Times New Roman" w:cs="Times New Roman" w:eastAsia="Times New Roman"/>
                <w:sz w:val="22"/>
              </w:rPr>
              <w:t xml:space="preserve">Max</w:t>
            </w:r>
            <w:r>
              <w:rPr>
                <w:rFonts w:ascii="Times New Roman" w:hAnsi="Times New Roman" w:cs="Times New Roman" w:eastAsia="Times New Roman"/>
                <w:sz w:val="22"/>
              </w:rPr>
              <w:t xml:space="preserve"> </w:t>
            </w:r>
            <m:oMath>
              <m:sSub>
                <m:e>
                  <m:r>
                    <m:t>H</m:t>
                  </m:r>
                </m:e>
                <m:sub>
                  <m:r>
                    <m:t>1</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life (°C)</w:t>
            </w:r>
          </w:p>
        </w:tc>
        <w:tc>
          <w:tcPr/>
          <w:p>
            <w:pPr>
              <w:pStyle w:val="Compact"/>
              <w:spacing w:line="276" w:lineRule="auto" w:before="0" w:after="0"/>
              <w:jc w:val="right"/>
            </w:pPr>
            <w:r>
              <w:rPr>
                <w:rFonts w:ascii="Times New Roman" w:hAnsi="Times New Roman" w:cs="Times New Roman" w:eastAsia="Times New Roman"/>
                <w:sz w:val="22"/>
              </w:rPr>
              <w:t xml:space="preserve">Persistence entropy</w:t>
            </w:r>
          </w:p>
        </w:tc>
      </w:tr>
      <w:tr>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left"/>
            </w:pPr>
            <w:r>
              <w:rPr>
                <w:rFonts w:ascii="Times New Roman" w:hAnsi="Times New Roman" w:cs="Times New Roman" w:eastAsia="Times New Roman"/>
                <w:sz w:val="22"/>
              </w:rPr>
              <w:t xml:space="preserve">Compact HR</w:t>
            </w:r>
          </w:p>
        </w:tc>
        <w:tc>
          <w:tcPr/>
          <w:p>
            <w:pPr>
              <w:pStyle w:val="Compact"/>
              <w:spacing w:line="276" w:lineRule="auto" w:before="0" w:after="0"/>
              <w:jc w:val="right"/>
            </w:pPr>
            <w:r>
              <w:rPr>
                <w:rFonts w:ascii="Times New Roman" w:hAnsi="Times New Roman" w:cs="Times New Roman" w:eastAsia="Times New Roman"/>
                <w:sz w:val="22"/>
              </w:rPr>
              <w:t xml:space="preserve">2,040</w:t>
            </w:r>
          </w:p>
        </w:tc>
        <w:tc>
          <w:tcPr/>
          <w:p>
            <w:pPr>
              <w:pStyle w:val="Compact"/>
              <w:spacing w:line="276" w:lineRule="auto" w:before="0" w:after="0"/>
              <w:jc w:val="right"/>
            </w:pPr>
            <w:r>
              <w:rPr>
                <w:rFonts w:ascii="Times New Roman" w:hAnsi="Times New Roman" w:cs="Times New Roman" w:eastAsia="Times New Roman"/>
                <w:sz w:val="22"/>
              </w:rPr>
              <w:t xml:space="preserve">66</w:t>
            </w:r>
          </w:p>
        </w:tc>
        <w:tc>
          <w:tcPr/>
          <w:p>
            <w:pPr>
              <w:pStyle w:val="Compact"/>
              <w:spacing w:line="276" w:lineRule="auto" w:before="0" w:after="0"/>
              <w:jc w:val="right"/>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0.42</w:t>
            </w:r>
          </w:p>
        </w:tc>
        <w:tc>
          <w:tcPr/>
          <w:p>
            <w:pPr>
              <w:pStyle w:val="Compact"/>
              <w:spacing w:line="276" w:lineRule="auto" w:before="0" w:after="0"/>
              <w:jc w:val="right"/>
            </w:pPr>
            <w:r>
              <w:rPr>
                <w:rFonts w:ascii="Times New Roman" w:hAnsi="Times New Roman" w:cs="Times New Roman" w:eastAsia="Times New Roman"/>
                <w:sz w:val="22"/>
              </w:rPr>
              <w:t xml:space="preserve">4.17</w:t>
            </w:r>
          </w:p>
        </w:tc>
      </w:tr>
      <w:tr>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left"/>
            </w:pPr>
            <w:r>
              <w:rPr>
                <w:rFonts w:ascii="Times New Roman" w:hAnsi="Times New Roman" w:cs="Times New Roman" w:eastAsia="Times New Roman"/>
                <w:sz w:val="22"/>
              </w:rPr>
              <w:t xml:space="preserve">Compact MR</w:t>
            </w:r>
          </w:p>
        </w:tc>
        <w:tc>
          <w:tcPr/>
          <w:p>
            <w:pPr>
              <w:pStyle w:val="Compact"/>
              <w:spacing w:line="276" w:lineRule="auto" w:before="0" w:after="0"/>
              <w:jc w:val="right"/>
            </w:pPr>
            <w:r>
              <w:rPr>
                <w:rFonts w:ascii="Times New Roman" w:hAnsi="Times New Roman" w:cs="Times New Roman" w:eastAsia="Times New Roman"/>
                <w:sz w:val="22"/>
              </w:rPr>
              <w:t xml:space="preserve">11,715</w:t>
            </w:r>
          </w:p>
        </w:tc>
        <w:tc>
          <w:tcPr/>
          <w:p>
            <w:pPr>
              <w:pStyle w:val="Compact"/>
              <w:spacing w:line="276" w:lineRule="auto" w:before="0" w:after="0"/>
              <w:jc w:val="right"/>
            </w:pPr>
            <w:r>
              <w:rPr>
                <w:rFonts w:ascii="Times New Roman" w:hAnsi="Times New Roman" w:cs="Times New Roman" w:eastAsia="Times New Roman"/>
                <w:sz w:val="22"/>
              </w:rPr>
              <w:t xml:space="preserve">165</w:t>
            </w:r>
          </w:p>
        </w:tc>
        <w:tc>
          <w:tcPr/>
          <w:p>
            <w:pPr>
              <w:pStyle w:val="Compact"/>
              <w:spacing w:line="276" w:lineRule="auto" w:before="0" w:after="0"/>
              <w:jc w:val="right"/>
            </w:pPr>
            <w:r>
              <w:rPr>
                <w:rFonts w:ascii="Times New Roman" w:hAnsi="Times New Roman" w:cs="Times New Roman" w:eastAsia="Times New Roman"/>
                <w:sz w:val="22"/>
              </w:rPr>
              <w:t xml:space="preserve">18</w:t>
            </w:r>
          </w:p>
        </w:tc>
        <w:tc>
          <w:tcPr/>
          <w:p>
            <w:pPr>
              <w:pStyle w:val="Compact"/>
              <w:spacing w:line="276" w:lineRule="auto" w:before="0" w:after="0"/>
              <w:jc w:val="right"/>
            </w:pPr>
            <w:r>
              <w:rPr>
                <w:rFonts w:ascii="Times New Roman" w:hAnsi="Times New Roman" w:cs="Times New Roman" w:eastAsia="Times New Roman"/>
                <w:sz w:val="22"/>
              </w:rPr>
              <w:t xml:space="preserve">0.65</w:t>
            </w:r>
          </w:p>
        </w:tc>
        <w:tc>
          <w:tcPr/>
          <w:p>
            <w:pPr>
              <w:pStyle w:val="Compact"/>
              <w:spacing w:line="276" w:lineRule="auto" w:before="0" w:after="0"/>
              <w:jc w:val="right"/>
            </w:pPr>
            <w:r>
              <w:rPr>
                <w:rFonts w:ascii="Times New Roman" w:hAnsi="Times New Roman" w:cs="Times New Roman" w:eastAsia="Times New Roman"/>
                <w:sz w:val="22"/>
              </w:rPr>
              <w:t xml:space="preserve">5.14</w:t>
            </w:r>
          </w:p>
        </w:tc>
      </w:tr>
      <w:tr>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left"/>
            </w:pPr>
            <w:r>
              <w:rPr>
                <w:rFonts w:ascii="Times New Roman" w:hAnsi="Times New Roman" w:cs="Times New Roman" w:eastAsia="Times New Roman"/>
                <w:sz w:val="22"/>
              </w:rPr>
              <w:t xml:space="preserve">Compact LR</w:t>
            </w:r>
          </w:p>
        </w:tc>
        <w:tc>
          <w:tcPr/>
          <w:p>
            <w:pPr>
              <w:pStyle w:val="Compact"/>
              <w:spacing w:line="276" w:lineRule="auto" w:before="0" w:after="0"/>
              <w:jc w:val="right"/>
            </w:pPr>
            <w:r>
              <w:rPr>
                <w:rFonts w:ascii="Times New Roman" w:hAnsi="Times New Roman" w:cs="Times New Roman" w:eastAsia="Times New Roman"/>
                <w:sz w:val="22"/>
              </w:rPr>
              <w:t xml:space="preserve">6,731</w:t>
            </w:r>
          </w:p>
        </w:tc>
        <w:tc>
          <w:tcPr/>
          <w:p>
            <w:pPr>
              <w:pStyle w:val="Compact"/>
              <w:spacing w:line="276" w:lineRule="auto" w:before="0" w:after="0"/>
              <w:jc w:val="right"/>
            </w:pPr>
            <w:r>
              <w:rPr>
                <w:rFonts w:ascii="Times New Roman" w:hAnsi="Times New Roman" w:cs="Times New Roman" w:eastAsia="Times New Roman"/>
                <w:sz w:val="22"/>
              </w:rPr>
              <w:t xml:space="preserve">262</w:t>
            </w:r>
          </w:p>
        </w:tc>
        <w:tc>
          <w:tcPr/>
          <w:p>
            <w:pPr>
              <w:pStyle w:val="Compact"/>
              <w:spacing w:line="276" w:lineRule="auto" w:before="0" w:after="0"/>
              <w:jc w:val="right"/>
            </w:pPr>
            <w:r>
              <w:rPr>
                <w:rFonts w:ascii="Times New Roman" w:hAnsi="Times New Roman" w:cs="Times New Roman" w:eastAsia="Times New Roman"/>
                <w:sz w:val="22"/>
              </w:rPr>
              <w:t xml:space="preserve">6</w:t>
            </w:r>
          </w:p>
        </w:tc>
        <w:tc>
          <w:tcPr/>
          <w:p>
            <w:pPr>
              <w:pStyle w:val="Compact"/>
              <w:spacing w:line="276" w:lineRule="auto" w:before="0" w:after="0"/>
              <w:jc w:val="right"/>
            </w:pPr>
            <w:r>
              <w:rPr>
                <w:rFonts w:ascii="Times New Roman" w:hAnsi="Times New Roman" w:cs="Times New Roman" w:eastAsia="Times New Roman"/>
                <w:sz w:val="22"/>
              </w:rPr>
              <w:t xml:space="preserve">0.51</w:t>
            </w:r>
          </w:p>
        </w:tc>
        <w:tc>
          <w:tcPr/>
          <w:p>
            <w:pPr>
              <w:pStyle w:val="Compact"/>
              <w:spacing w:line="276" w:lineRule="auto" w:before="0" w:after="0"/>
              <w:jc w:val="right"/>
            </w:pPr>
            <w:r>
              <w:rPr>
                <w:rFonts w:ascii="Times New Roman" w:hAnsi="Times New Roman" w:cs="Times New Roman" w:eastAsia="Times New Roman"/>
                <w:sz w:val="22"/>
              </w:rPr>
              <w:t xml:space="preserve">5.52</w:t>
            </w:r>
          </w:p>
        </w:tc>
      </w:tr>
      <w:tr>
        <w:tc>
          <w:tcPr/>
          <w:p>
            <w:pPr>
              <w:pStyle w:val="Compact"/>
              <w:spacing w:line="276" w:lineRule="auto" w:before="0" w:after="0"/>
              <w:jc w:val="center"/>
            </w:pPr>
            <w:r>
              <w:rPr>
                <w:rFonts w:ascii="Times New Roman" w:hAnsi="Times New Roman" w:cs="Times New Roman" w:eastAsia="Times New Roman"/>
                <w:sz w:val="22"/>
              </w:rPr>
              <w:t xml:space="preserve">4</w:t>
            </w:r>
          </w:p>
        </w:tc>
        <w:tc>
          <w:tcPr/>
          <w:p>
            <w:pPr>
              <w:pStyle w:val="Compact"/>
              <w:spacing w:line="276" w:lineRule="auto" w:before="0" w:after="0"/>
              <w:jc w:val="left"/>
            </w:pPr>
            <w:r>
              <w:rPr>
                <w:rFonts w:ascii="Times New Roman" w:hAnsi="Times New Roman" w:cs="Times New Roman" w:eastAsia="Times New Roman"/>
                <w:sz w:val="22"/>
              </w:rPr>
              <w:t xml:space="preserve">Open HR</w:t>
            </w:r>
          </w:p>
        </w:tc>
        <w:tc>
          <w:tcPr/>
          <w:p>
            <w:pPr>
              <w:pStyle w:val="Compact"/>
              <w:spacing w:line="276" w:lineRule="auto" w:before="0" w:after="0"/>
              <w:jc w:val="right"/>
            </w:pPr>
            <w:r>
              <w:rPr>
                <w:rFonts w:ascii="Times New Roman" w:hAnsi="Times New Roman" w:cs="Times New Roman" w:eastAsia="Times New Roman"/>
                <w:sz w:val="22"/>
              </w:rPr>
              <w:t xml:space="preserve">18,733</w:t>
            </w:r>
          </w:p>
        </w:tc>
        <w:tc>
          <w:tcPr/>
          <w:p>
            <w:pPr>
              <w:pStyle w:val="Compact"/>
              <w:spacing w:line="276" w:lineRule="auto" w:before="0" w:after="0"/>
              <w:jc w:val="right"/>
            </w:pPr>
            <w:r>
              <w:rPr>
                <w:rFonts w:ascii="Times New Roman" w:hAnsi="Times New Roman" w:cs="Times New Roman" w:eastAsia="Times New Roman"/>
                <w:sz w:val="22"/>
              </w:rPr>
              <w:t xml:space="preserve">302</w:t>
            </w:r>
          </w:p>
        </w:tc>
        <w:tc>
          <w:tcPr/>
          <w:p>
            <w:pPr>
              <w:pStyle w:val="Compact"/>
              <w:spacing w:line="276" w:lineRule="auto" w:before="0" w:after="0"/>
              <w:jc w:val="right"/>
            </w:pPr>
            <w:r>
              <w:rPr>
                <w:rFonts w:ascii="Times New Roman" w:hAnsi="Times New Roman" w:cs="Times New Roman" w:eastAsia="Times New Roman"/>
                <w:sz w:val="22"/>
              </w:rPr>
              <w:t xml:space="preserve">52</w:t>
            </w:r>
          </w:p>
        </w:tc>
        <w:tc>
          <w:tcPr/>
          <w:p>
            <w:pPr>
              <w:pStyle w:val="Compact"/>
              <w:spacing w:line="276" w:lineRule="auto" w:before="0" w:after="0"/>
              <w:jc w:val="right"/>
            </w:pPr>
            <w:r>
              <w:rPr>
                <w:rFonts w:ascii="Times New Roman" w:hAnsi="Times New Roman" w:cs="Times New Roman" w:eastAsia="Times New Roman"/>
                <w:sz w:val="22"/>
              </w:rPr>
              <w:t xml:space="preserve">0.78</w:t>
            </w:r>
          </w:p>
        </w:tc>
        <w:tc>
          <w:tcPr/>
          <w:p>
            <w:pPr>
              <w:pStyle w:val="Compact"/>
              <w:spacing w:line="276" w:lineRule="auto" w:before="0" w:after="0"/>
              <w:jc w:val="right"/>
            </w:pPr>
            <w:r>
              <w:rPr>
                <w:rFonts w:ascii="Times New Roman" w:hAnsi="Times New Roman" w:cs="Times New Roman" w:eastAsia="Times New Roman"/>
                <w:sz w:val="22"/>
              </w:rPr>
              <w:t xml:space="preserve">5.80</w:t>
            </w:r>
          </w:p>
        </w:tc>
      </w:tr>
      <w:tr>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left"/>
            </w:pPr>
            <w:r>
              <w:rPr>
                <w:rFonts w:ascii="Times New Roman" w:hAnsi="Times New Roman" w:cs="Times New Roman" w:eastAsia="Times New Roman"/>
                <w:sz w:val="22"/>
              </w:rPr>
              <w:t xml:space="preserve">Open MR</w:t>
            </w:r>
          </w:p>
        </w:tc>
        <w:tc>
          <w:tcPr/>
          <w:p>
            <w:pPr>
              <w:pStyle w:val="Compact"/>
              <w:spacing w:line="276" w:lineRule="auto" w:before="0" w:after="0"/>
              <w:jc w:val="right"/>
            </w:pPr>
            <w:r>
              <w:rPr>
                <w:rFonts w:ascii="Times New Roman" w:hAnsi="Times New Roman" w:cs="Times New Roman" w:eastAsia="Times New Roman"/>
                <w:sz w:val="22"/>
              </w:rPr>
              <w:t xml:space="preserve">7,282</w:t>
            </w:r>
          </w:p>
        </w:tc>
        <w:tc>
          <w:tcPr/>
          <w:p>
            <w:pPr>
              <w:pStyle w:val="Compact"/>
              <w:spacing w:line="276" w:lineRule="auto" w:before="0" w:after="0"/>
              <w:jc w:val="right"/>
            </w:pPr>
            <w:r>
              <w:rPr>
                <w:rFonts w:ascii="Times New Roman" w:hAnsi="Times New Roman" w:cs="Times New Roman" w:eastAsia="Times New Roman"/>
                <w:sz w:val="22"/>
              </w:rPr>
              <w:t xml:space="preserve">479</w:t>
            </w:r>
          </w:p>
        </w:tc>
        <w:tc>
          <w:tcPr/>
          <w:p>
            <w:pPr>
              <w:pStyle w:val="Compact"/>
              <w:spacing w:line="276" w:lineRule="auto" w:before="0" w:after="0"/>
              <w:jc w:val="right"/>
            </w:pPr>
            <w:r>
              <w:rPr>
                <w:rFonts w:ascii="Times New Roman" w:hAnsi="Times New Roman" w:cs="Times New Roman" w:eastAsia="Times New Roman"/>
                <w:sz w:val="22"/>
              </w:rPr>
              <w:t xml:space="preserve">9</w:t>
            </w:r>
          </w:p>
        </w:tc>
        <w:tc>
          <w:tcPr/>
          <w:p>
            <w:pPr>
              <w:pStyle w:val="Compact"/>
              <w:spacing w:line="276" w:lineRule="auto" w:before="0" w:after="0"/>
              <w:jc w:val="right"/>
            </w:pPr>
            <w:r>
              <w:rPr>
                <w:rFonts w:ascii="Times New Roman" w:hAnsi="Times New Roman" w:cs="Times New Roman" w:eastAsia="Times New Roman"/>
                <w:sz w:val="22"/>
              </w:rPr>
              <w:t xml:space="preserve">0.54</w:t>
            </w:r>
          </w:p>
        </w:tc>
        <w:tc>
          <w:tcPr/>
          <w:p>
            <w:pPr>
              <w:pStyle w:val="Compact"/>
              <w:spacing w:line="276" w:lineRule="auto" w:before="0" w:after="0"/>
              <w:jc w:val="right"/>
            </w:pPr>
            <w:r>
              <w:rPr>
                <w:rFonts w:ascii="Times New Roman" w:hAnsi="Times New Roman" w:cs="Times New Roman" w:eastAsia="Times New Roman"/>
                <w:sz w:val="22"/>
              </w:rPr>
              <w:t xml:space="preserve">6.13</w:t>
            </w:r>
          </w:p>
        </w:tc>
      </w:tr>
      <w:tr>
        <w:tc>
          <w:tcPr/>
          <w:p>
            <w:pPr>
              <w:pStyle w:val="Compact"/>
              <w:spacing w:line="276" w:lineRule="auto" w:before="0" w:after="0"/>
              <w:jc w:val="center"/>
            </w:pPr>
            <w:r>
              <w:rPr>
                <w:rFonts w:ascii="Times New Roman" w:hAnsi="Times New Roman" w:cs="Times New Roman" w:eastAsia="Times New Roman"/>
                <w:b/>
                <w:bCs/>
                <w:sz w:val="22"/>
              </w:rPr>
              <w:t xml:space="preserve">6</w:t>
            </w:r>
          </w:p>
        </w:tc>
        <w:tc>
          <w:tcPr/>
          <w:p>
            <w:pPr>
              <w:pStyle w:val="Compact"/>
              <w:spacing w:line="276" w:lineRule="auto" w:before="0" w:after="0"/>
              <w:jc w:val="left"/>
            </w:pPr>
            <w:r>
              <w:rPr>
                <w:rFonts w:ascii="Times New Roman" w:hAnsi="Times New Roman" w:cs="Times New Roman" w:eastAsia="Times New Roman"/>
                <w:b/>
                <w:bCs/>
                <w:sz w:val="22"/>
              </w:rPr>
              <w:t xml:space="preserve">Open LR</w:t>
            </w:r>
          </w:p>
        </w:tc>
        <w:tc>
          <w:tcPr/>
          <w:p>
            <w:pPr>
              <w:pStyle w:val="Compact"/>
              <w:spacing w:line="276" w:lineRule="auto" w:before="0" w:after="0"/>
              <w:jc w:val="right"/>
            </w:pPr>
            <w:r>
              <w:rPr>
                <w:rFonts w:ascii="Times New Roman" w:hAnsi="Times New Roman" w:cs="Times New Roman" w:eastAsia="Times New Roman"/>
                <w:b/>
                <w:bCs/>
                <w:sz w:val="22"/>
              </w:rPr>
              <w:t xml:space="preserve">69,173</w:t>
            </w:r>
          </w:p>
        </w:tc>
        <w:tc>
          <w:tcPr/>
          <w:p>
            <w:pPr>
              <w:pStyle w:val="Compact"/>
              <w:spacing w:line="276" w:lineRule="auto" w:before="0" w:after="0"/>
              <w:jc w:val="right"/>
            </w:pPr>
            <w:r>
              <w:rPr>
                <w:rFonts w:ascii="Times New Roman" w:hAnsi="Times New Roman" w:cs="Times New Roman" w:eastAsia="Times New Roman"/>
                <w:b/>
                <w:bCs/>
                <w:sz w:val="22"/>
              </w:rPr>
              <w:t xml:space="preserve">777</w:t>
            </w:r>
          </w:p>
        </w:tc>
        <w:tc>
          <w:tcPr/>
          <w:p>
            <w:pPr>
              <w:pStyle w:val="Compact"/>
              <w:spacing w:line="276" w:lineRule="auto" w:before="0" w:after="0"/>
              <w:jc w:val="right"/>
            </w:pPr>
            <w:r>
              <w:rPr>
                <w:rFonts w:ascii="Times New Roman" w:hAnsi="Times New Roman" w:cs="Times New Roman" w:eastAsia="Times New Roman"/>
                <w:b/>
                <w:bCs/>
                <w:sz w:val="22"/>
              </w:rPr>
              <w:t xml:space="preserve">297</w:t>
            </w:r>
          </w:p>
        </w:tc>
        <w:tc>
          <w:tcPr/>
          <w:p>
            <w:pPr>
              <w:pStyle w:val="Compact"/>
              <w:spacing w:line="276" w:lineRule="auto" w:before="0" w:after="0"/>
              <w:jc w:val="right"/>
            </w:pPr>
            <w:r>
              <w:rPr>
                <w:rFonts w:ascii="Times New Roman" w:hAnsi="Times New Roman" w:cs="Times New Roman" w:eastAsia="Times New Roman"/>
                <w:b/>
                <w:bCs/>
                <w:sz w:val="22"/>
              </w:rPr>
              <w:t xml:space="preserve">0.91</w:t>
            </w:r>
          </w:p>
        </w:tc>
        <w:tc>
          <w:tcPr/>
          <w:p>
            <w:pPr>
              <w:pStyle w:val="Compact"/>
              <w:spacing w:line="276" w:lineRule="auto" w:before="0" w:after="0"/>
              <w:jc w:val="right"/>
            </w:pPr>
            <w:r>
              <w:rPr>
                <w:rFonts w:ascii="Times New Roman" w:hAnsi="Times New Roman" w:cs="Times New Roman" w:eastAsia="Times New Roman"/>
                <w:b/>
                <w:bCs/>
                <w:sz w:val="22"/>
              </w:rPr>
              <w:t xml:space="preserve">6.91</w:t>
            </w:r>
          </w:p>
        </w:tc>
      </w:tr>
      <w:tr>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left"/>
            </w:pPr>
            <w:r>
              <w:rPr>
                <w:rFonts w:ascii="Times New Roman" w:hAnsi="Times New Roman" w:cs="Times New Roman" w:eastAsia="Times New Roman"/>
                <w:sz w:val="22"/>
              </w:rPr>
              <w:t xml:space="preserve">Large LR</w:t>
            </w:r>
          </w:p>
        </w:tc>
        <w:tc>
          <w:tcPr/>
          <w:p>
            <w:pPr>
              <w:pStyle w:val="Compact"/>
              <w:spacing w:line="276" w:lineRule="auto" w:before="0" w:after="0"/>
              <w:jc w:val="right"/>
            </w:pPr>
            <w:r>
              <w:rPr>
                <w:rFonts w:ascii="Times New Roman" w:hAnsi="Times New Roman" w:cs="Times New Roman" w:eastAsia="Times New Roman"/>
                <w:sz w:val="22"/>
              </w:rPr>
              <w:t xml:space="preserve">83,055</w:t>
            </w:r>
          </w:p>
        </w:tc>
        <w:tc>
          <w:tcPr/>
          <w:p>
            <w:pPr>
              <w:pStyle w:val="Compact"/>
              <w:spacing w:line="276" w:lineRule="auto" w:before="0" w:after="0"/>
              <w:jc w:val="right"/>
            </w:pPr>
            <w:r>
              <w:rPr>
                <w:rFonts w:ascii="Times New Roman" w:hAnsi="Times New Roman" w:cs="Times New Roman" w:eastAsia="Times New Roman"/>
                <w:sz w:val="22"/>
              </w:rPr>
              <w:t xml:space="preserve">337</w:t>
            </w:r>
          </w:p>
        </w:tc>
        <w:tc>
          <w:tcPr/>
          <w:p>
            <w:pPr>
              <w:pStyle w:val="Compact"/>
              <w:spacing w:line="276" w:lineRule="auto" w:before="0" w:after="0"/>
              <w:jc w:val="right"/>
            </w:pPr>
            <w:r>
              <w:rPr>
                <w:rFonts w:ascii="Times New Roman" w:hAnsi="Times New Roman" w:cs="Times New Roman" w:eastAsia="Times New Roman"/>
                <w:sz w:val="22"/>
              </w:rPr>
              <w:t xml:space="preserve">286</w:t>
            </w:r>
          </w:p>
        </w:tc>
        <w:tc>
          <w:tcPr/>
          <w:p>
            <w:pPr>
              <w:pStyle w:val="Compact"/>
              <w:spacing w:line="276" w:lineRule="auto" w:before="0" w:after="0"/>
              <w:jc w:val="right"/>
            </w:pPr>
            <w:r>
              <w:rPr>
                <w:rFonts w:ascii="Times New Roman" w:hAnsi="Times New Roman" w:cs="Times New Roman" w:eastAsia="Times New Roman"/>
                <w:sz w:val="22"/>
              </w:rPr>
              <w:t xml:space="preserve">0.83</w:t>
            </w:r>
          </w:p>
        </w:tc>
        <w:tc>
          <w:tcPr/>
          <w:p>
            <w:pPr>
              <w:pStyle w:val="Compact"/>
              <w:spacing w:line="276" w:lineRule="auto" w:before="0" w:after="0"/>
              <w:jc w:val="right"/>
            </w:pPr>
            <w:r>
              <w:rPr>
                <w:rFonts w:ascii="Times New Roman" w:hAnsi="Times New Roman" w:cs="Times New Roman" w:eastAsia="Times New Roman"/>
                <w:sz w:val="22"/>
              </w:rPr>
              <w:t xml:space="preserve">6.37</w:t>
            </w:r>
          </w:p>
        </w:tc>
      </w:tr>
      <w:tr>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left"/>
            </w:pPr>
            <w:r>
              <w:rPr>
                <w:rFonts w:ascii="Times New Roman" w:hAnsi="Times New Roman" w:cs="Times New Roman" w:eastAsia="Times New Roman"/>
                <w:sz w:val="22"/>
              </w:rPr>
              <w:t xml:space="preserve">Sparsely B</w:t>
            </w:r>
          </w:p>
        </w:tc>
        <w:tc>
          <w:tcPr/>
          <w:p>
            <w:pPr>
              <w:pStyle w:val="Compact"/>
              <w:spacing w:line="276" w:lineRule="auto" w:before="0" w:after="0"/>
              <w:jc w:val="right"/>
            </w:pPr>
            <w:r>
              <w:rPr>
                <w:rFonts w:ascii="Times New Roman" w:hAnsi="Times New Roman" w:cs="Times New Roman" w:eastAsia="Times New Roman"/>
                <w:sz w:val="22"/>
              </w:rPr>
              <w:t xml:space="preserve">11,451</w:t>
            </w:r>
          </w:p>
        </w:tc>
        <w:tc>
          <w:tcPr/>
          <w:p>
            <w:pPr>
              <w:pStyle w:val="Compact"/>
              <w:spacing w:line="276" w:lineRule="auto" w:before="0" w:after="0"/>
              <w:jc w:val="right"/>
            </w:pPr>
            <w:r>
              <w:rPr>
                <w:rFonts w:ascii="Times New Roman" w:hAnsi="Times New Roman" w:cs="Times New Roman" w:eastAsia="Times New Roman"/>
                <w:sz w:val="22"/>
              </w:rPr>
              <w:t xml:space="preserve">509</w:t>
            </w:r>
          </w:p>
        </w:tc>
        <w:tc>
          <w:tcPr/>
          <w:p>
            <w:pPr>
              <w:pStyle w:val="Compact"/>
              <w:spacing w:line="276" w:lineRule="auto" w:before="0" w:after="0"/>
              <w:jc w:val="right"/>
            </w:pPr>
            <w:r>
              <w:rPr>
                <w:rFonts w:ascii="Times New Roman" w:hAnsi="Times New Roman" w:cs="Times New Roman" w:eastAsia="Times New Roman"/>
                <w:sz w:val="22"/>
              </w:rPr>
              <w:t xml:space="preserve">35</w:t>
            </w:r>
          </w:p>
        </w:tc>
        <w:tc>
          <w:tcPr/>
          <w:p>
            <w:pPr>
              <w:pStyle w:val="Compact"/>
              <w:spacing w:line="276" w:lineRule="auto" w:before="0" w:after="0"/>
              <w:jc w:val="right"/>
            </w:pPr>
            <w:r>
              <w:rPr>
                <w:rFonts w:ascii="Times New Roman" w:hAnsi="Times New Roman" w:cs="Times New Roman" w:eastAsia="Times New Roman"/>
                <w:sz w:val="22"/>
              </w:rPr>
              <w:t xml:space="preserve">0.62</w:t>
            </w:r>
          </w:p>
        </w:tc>
        <w:tc>
          <w:tcPr/>
          <w:p>
            <w:pPr>
              <w:pStyle w:val="Compact"/>
              <w:spacing w:line="276" w:lineRule="auto" w:before="0" w:after="0"/>
              <w:jc w:val="right"/>
            </w:pPr>
            <w:r>
              <w:rPr>
                <w:rFonts w:ascii="Times New Roman" w:hAnsi="Times New Roman" w:cs="Times New Roman" w:eastAsia="Times New Roman"/>
                <w:sz w:val="22"/>
              </w:rPr>
              <w:t xml:space="preserve">6.25</w:t>
            </w:r>
          </w:p>
        </w:tc>
      </w:tr>
      <w:tr>
        <w:tc>
          <w:tcPr/>
          <w:p>
            <w:pPr>
              <w:pStyle w:val="Compact"/>
              <w:spacing w:line="276" w:lineRule="auto" w:before="0" w:after="0"/>
              <w:jc w:val="center"/>
            </w:pPr>
            <w:r>
              <w:rPr>
                <w:rFonts w:ascii="Times New Roman" w:hAnsi="Times New Roman" w:cs="Times New Roman" w:eastAsia="Times New Roman"/>
                <w:sz w:val="22"/>
              </w:rPr>
              <w:t xml:space="preserve">10</w:t>
            </w:r>
          </w:p>
        </w:tc>
        <w:tc>
          <w:tcPr/>
          <w:p>
            <w:pPr>
              <w:pStyle w:val="Compact"/>
              <w:spacing w:line="276" w:lineRule="auto" w:before="0" w:after="0"/>
              <w:jc w:val="left"/>
            </w:pPr>
            <w:r>
              <w:rPr>
                <w:rFonts w:ascii="Times New Roman" w:hAnsi="Times New Roman" w:cs="Times New Roman" w:eastAsia="Times New Roman"/>
                <w:sz w:val="22"/>
              </w:rPr>
              <w:t xml:space="preserve">Heavy Ind</w:t>
            </w:r>
          </w:p>
        </w:tc>
        <w:tc>
          <w:tcPr/>
          <w:p>
            <w:pPr>
              <w:pStyle w:val="Compact"/>
              <w:spacing w:line="276" w:lineRule="auto" w:before="0" w:after="0"/>
              <w:jc w:val="right"/>
            </w:pPr>
            <w:r>
              <w:rPr>
                <w:rFonts w:ascii="Times New Roman" w:hAnsi="Times New Roman" w:cs="Times New Roman" w:eastAsia="Times New Roman"/>
                <w:sz w:val="22"/>
              </w:rPr>
              <w:t xml:space="preserve">2,575</w:t>
            </w:r>
          </w:p>
        </w:tc>
        <w:tc>
          <w:tcPr/>
          <w:p>
            <w:pPr>
              <w:pStyle w:val="Compact"/>
              <w:spacing w:line="276" w:lineRule="auto" w:before="0" w:after="0"/>
              <w:jc w:val="right"/>
            </w:pPr>
            <w:r>
              <w:rPr>
                <w:rFonts w:ascii="Times New Roman" w:hAnsi="Times New Roman" w:cs="Times New Roman" w:eastAsia="Times New Roman"/>
                <w:sz w:val="22"/>
              </w:rPr>
              <w:t xml:space="preserve">62</w:t>
            </w:r>
          </w:p>
        </w:tc>
        <w:tc>
          <w:tcPr/>
          <w:p>
            <w:pPr>
              <w:pStyle w:val="Compact"/>
              <w:spacing w:line="276" w:lineRule="auto" w:before="0" w:after="0"/>
              <w:jc w:val="right"/>
            </w:pPr>
            <w:r>
              <w:rPr>
                <w:rFonts w:ascii="Times New Roman" w:hAnsi="Times New Roman" w:cs="Times New Roman" w:eastAsia="Times New Roman"/>
                <w:sz w:val="22"/>
              </w:rPr>
              <w:t xml:space="preserve">3</w:t>
            </w:r>
          </w:p>
        </w:tc>
        <w:tc>
          <w:tcPr/>
          <w:p>
            <w:pPr>
              <w:pStyle w:val="Compact"/>
              <w:spacing w:line="276" w:lineRule="auto" w:before="0" w:after="0"/>
              <w:jc w:val="right"/>
            </w:pPr>
            <w:r>
              <w:rPr>
                <w:rFonts w:ascii="Times New Roman" w:hAnsi="Times New Roman" w:cs="Times New Roman" w:eastAsia="Times New Roman"/>
                <w:sz w:val="22"/>
              </w:rPr>
              <w:t xml:space="preserve">0.45</w:t>
            </w:r>
          </w:p>
        </w:tc>
        <w:tc>
          <w:tcPr/>
          <w:p>
            <w:pPr>
              <w:pStyle w:val="Compact"/>
              <w:spacing w:line="276" w:lineRule="auto" w:before="0" w:after="0"/>
              <w:jc w:val="right"/>
            </w:pPr>
            <w:r>
              <w:rPr>
                <w:rFonts w:ascii="Times New Roman" w:hAnsi="Times New Roman" w:cs="Times New Roman" w:eastAsia="Times New Roman"/>
                <w:sz w:val="22"/>
              </w:rPr>
              <w:t xml:space="preserve">4.10</w:t>
            </w:r>
          </w:p>
        </w:tc>
      </w:tr>
    </w:tbl>
    <w:p>
      <w:pPr>
        <w:pStyle w:val="BodyText"/>
        <w:spacing w:line="480" w:lineRule="auto" w:before="0" w:after="0"/>
        <w:ind w:firstLine="0"/>
        <w:jc w:val="left"/>
      </w:pPr>
      <w:r>
        <w:rPr>
          <w:rFonts w:ascii="Times New Roman" w:hAnsi="Times New Roman" w:cs="Times New Roman" w:eastAsia="Times New Roman"/>
          <w:sz w:val="24"/>
        </w:rPr>
        <w:t xml:space="preserve">LCZ 6 (Open low-rise) has 297 H₁ holes—the highest by a wide margin.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means its UTCI field contains many cool patches (e.g., parks,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gaps) embedded in a warm matrix, a topological signature absent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classes (LCZ 1, 10).</w:t>
      </w:r>
    </w:p>
    <w:bookmarkEnd w:id="70"/>
    <w:bookmarkStart w:id="71" w:name="X1746cd7f7f0b11716285cb9bc0f355299b67e34"/>
    <w:p>
      <w:pPr>
        <w:pStyle w:val="Heading2"/>
        <w:spacing w:line="480" w:lineRule="auto" w:before="360" w:after="180"/>
        <w:ind w:firstLine="0"/>
        <w:jc w:val="left"/>
      </w:pPr>
      <w:r>
        <w:rPr>
          <w:rFonts w:ascii="Times New Roman" w:hAnsi="Times New Roman" w:cs="Times New Roman" w:eastAsia="Times New Roman"/>
          <w:b/>
          <w:sz w:val="24"/>
        </w:rPr>
        <w:t xml:space="preserve">Table 4. Top 5 most-exposed LCZ subcategories (by mean HDH).</w:t>
      </w:r>
    </w:p>
    <w:tbl>
      <w:tblPr>
        <w:tblStyle w:val="Table"/>
        <w:tblW w:type="pct" w:w="5000"/>
        <w:tblLayout w:type="fixed"/>
        <w:tblLook w:firstRow="1" w:lastRow="0" w:firstColumn="0" w:lastColumn="0" w:noHBand="0" w:noVBand="0" w:val="0020"/>
      </w:tblPr>
      <w:tblGrid>
        <w:gridCol w:w="848"/>
        <w:gridCol w:w="353"/>
        <w:gridCol w:w="1131"/>
        <w:gridCol w:w="1485"/>
        <w:gridCol w:w="848"/>
        <w:gridCol w:w="1131"/>
        <w:gridCol w:w="636"/>
        <w:gridCol w:w="353"/>
        <w:gridCol w:w="1131"/>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Subcategory</w:t>
            </w:r>
          </w:p>
        </w:tc>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right"/>
            </w:pPr>
            <w:r>
              <w:rPr>
                <w:rFonts w:ascii="Times New Roman" w:hAnsi="Times New Roman" w:cs="Times New Roman" w:eastAsia="Times New Roman"/>
                <w:sz w:val="22"/>
              </w:rPr>
              <w:t xml:space="preserve">n grids (total)</w:t>
            </w:r>
          </w:p>
        </w:tc>
        <w:tc>
          <w:tcPr/>
          <w:p>
            <w:pPr>
              <w:pStyle w:val="Compact"/>
              <w:spacing w:line="276" w:lineRule="auto" w:before="0" w:after="0"/>
              <w:jc w:val="right"/>
            </w:pPr>
            <w:r>
              <w:rPr>
                <w:rFonts w:ascii="Times New Roman" w:hAnsi="Times New Roman" w:cs="Times New Roman" w:eastAsia="Times New Roman"/>
                <w:sz w:val="22"/>
              </w:rPr>
              <w:t xml:space="preserve">n grids (populated)</w:t>
            </w:r>
          </w:p>
        </w:tc>
        <w:tc>
          <w:tcPr/>
          <w:p>
            <w:pPr>
              <w:pStyle w:val="Compact"/>
              <w:spacing w:line="276" w:lineRule="auto" w:before="0" w:after="0"/>
              <w:jc w:val="right"/>
            </w:pPr>
            <w:r>
              <w:rPr>
                <w:rFonts w:ascii="Times New Roman" w:hAnsi="Times New Roman" w:cs="Times New Roman" w:eastAsia="Times New Roman"/>
                <w:sz w:val="22"/>
              </w:rPr>
              <w:t xml:space="preserve">Population</w:t>
            </w:r>
          </w:p>
        </w:tc>
        <w:tc>
          <w:tcPr/>
          <w:p>
            <w:pPr>
              <w:pStyle w:val="Compact"/>
              <w:spacing w:line="276" w:lineRule="auto" w:before="0" w:after="0"/>
              <w:jc w:val="right"/>
            </w:pPr>
            <w:r>
              <w:rPr>
                <w:rFonts w:ascii="Times New Roman" w:hAnsi="Times New Roman" w:cs="Times New Roman" w:eastAsia="Times New Roman"/>
                <w:sz w:val="22"/>
              </w:rPr>
              <w:t xml:space="preserve">UTCI mean (°C)</w:t>
            </w:r>
          </w:p>
        </w:tc>
        <w:tc>
          <w:tcPr/>
          <w:p>
            <w:pPr>
              <w:pStyle w:val="Compact"/>
              <w:spacing w:line="276" w:lineRule="auto" w:before="0" w:after="0"/>
              <w:jc w:val="right"/>
            </w:pPr>
            <w:r>
              <w:rPr>
                <w:rFonts w:ascii="Times New Roman" w:hAnsi="Times New Roman" w:cs="Times New Roman" w:eastAsia="Times New Roman"/>
                <w:sz w:val="22"/>
              </w:rPr>
              <w:t xml:space="preserve">TSD (h)</w:t>
            </w:r>
          </w:p>
        </w:tc>
        <w:tc>
          <w:tcPr/>
          <w:p>
            <w:pPr>
              <w:pStyle w:val="Compact"/>
              <w:spacing w:line="276" w:lineRule="auto" w:before="0" w:after="0"/>
              <w:jc w:val="right"/>
            </w:pPr>
            <w:r>
              <w:rPr>
                <w:rFonts w:ascii="Times New Roman" w:hAnsi="Times New Roman" w:cs="Times New Roman" w:eastAsia="Times New Roman"/>
                <w:sz w:val="22"/>
              </w:rPr>
              <w:t xml:space="preserve">HDH</w:t>
            </w:r>
          </w:p>
        </w:tc>
        <w:tc>
          <w:tcPr/>
          <w:p>
            <w:pPr>
              <w:pStyle w:val="Compact"/>
              <w:spacing w:line="276" w:lineRule="auto" w:before="0" w:after="0"/>
            </w:pPr>
            <w:r>
              <w:rPr>
                <w:rFonts w:ascii="Times New Roman" w:hAnsi="Times New Roman" w:cs="Times New Roman" w:eastAsia="Times New Roman"/>
                <w:sz w:val="22"/>
              </w:rPr>
              <w:t xml:space="preserve">Exposure share</w:t>
            </w:r>
          </w:p>
        </w:tc>
      </w:tr>
      <w:tr>
        <w:tc>
          <w:tcPr/>
          <w:p>
            <w:pPr>
              <w:pStyle w:val="Compact"/>
              <w:spacing w:line="276" w:lineRule="auto" w:before="0" w:after="0"/>
              <w:jc w:val="center"/>
            </w:pPr>
            <w:r>
              <w:rPr>
                <w:rFonts w:ascii="Times New Roman" w:hAnsi="Times New Roman" w:cs="Times New Roman" w:eastAsia="Times New Roman"/>
                <w:sz w:val="22"/>
              </w:rPr>
              <w:t xml:space="preserve">1E</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2</w:t>
            </w:r>
          </w:p>
        </w:tc>
        <w:tc>
          <w:tcPr/>
          <w:p>
            <w:pPr>
              <w:pStyle w:val="Compact"/>
              <w:spacing w:line="276" w:lineRule="auto" w:before="0" w:after="0"/>
              <w:jc w:val="right"/>
            </w:pPr>
            <w:r>
              <w:rPr>
                <w:rFonts w:ascii="Times New Roman" w:hAnsi="Times New Roman" w:cs="Times New Roman" w:eastAsia="Times New Roman"/>
                <w:sz w:val="22"/>
              </w:rPr>
              <w:t xml:space="preserve">2</w:t>
            </w:r>
          </w:p>
        </w:tc>
        <w:tc>
          <w:tcPr/>
          <w:p>
            <w:pPr>
              <w:pStyle w:val="Compact"/>
              <w:spacing w:line="276" w:lineRule="auto" w:before="0" w:after="0"/>
              <w:jc w:val="right"/>
            </w:pPr>
            <w:r>
              <w:rPr>
                <w:rFonts w:ascii="Times New Roman" w:hAnsi="Times New Roman" w:cs="Times New Roman" w:eastAsia="Times New Roman"/>
                <w:sz w:val="22"/>
              </w:rPr>
              <w:t xml:space="preserve">644</w:t>
            </w:r>
          </w:p>
        </w:tc>
        <w:tc>
          <w:tcPr/>
          <w:p>
            <w:pPr>
              <w:pStyle w:val="Compact"/>
              <w:spacing w:line="276" w:lineRule="auto" w:before="0" w:after="0"/>
              <w:jc w:val="right"/>
            </w:pPr>
            <w:r>
              <w:rPr>
                <w:rFonts w:ascii="Times New Roman" w:hAnsi="Times New Roman" w:cs="Times New Roman" w:eastAsia="Times New Roman"/>
                <w:sz w:val="22"/>
              </w:rPr>
              <w:t xml:space="preserve">31.95</w:t>
            </w:r>
          </w:p>
        </w:tc>
        <w:tc>
          <w:tcPr/>
          <w:p>
            <w:pPr>
              <w:pStyle w:val="Compact"/>
              <w:spacing w:line="276" w:lineRule="auto" w:before="0" w:after="0"/>
              <w:jc w:val="right"/>
            </w:pPr>
            <w:r>
              <w:rPr>
                <w:rFonts w:ascii="Times New Roman" w:hAnsi="Times New Roman" w:cs="Times New Roman" w:eastAsia="Times New Roman"/>
                <w:sz w:val="22"/>
              </w:rPr>
              <w:t xml:space="preserve">327</w:t>
            </w:r>
          </w:p>
        </w:tc>
        <w:tc>
          <w:tcPr/>
          <w:p>
            <w:pPr>
              <w:pStyle w:val="Compact"/>
              <w:spacing w:line="276" w:lineRule="auto" w:before="0" w:after="0"/>
              <w:jc w:val="right"/>
            </w:pPr>
            <w:r>
              <w:rPr>
                <w:rFonts w:ascii="Times New Roman" w:hAnsi="Times New Roman" w:cs="Times New Roman" w:eastAsia="Times New Roman"/>
                <w:sz w:val="22"/>
              </w:rPr>
              <w:t xml:space="preserve">4,466</w:t>
            </w:r>
          </w:p>
        </w:tc>
        <w:tc>
          <w:tcPr/>
          <w:p>
            <w:pPr>
              <w:pStyle w:val="Compact"/>
              <w:spacing w:line="276" w:lineRule="auto" w:before="0" w:after="0"/>
            </w:pPr>
            <w:r>
              <w:rPr>
                <w:rFonts w:ascii="Times New Roman" w:hAnsi="Times New Roman" w:cs="Times New Roman" w:eastAsia="Times New Roman"/>
                <w:sz w:val="22"/>
              </w:rPr>
              <w:t xml:space="preserve">0.005%</w:t>
            </w:r>
          </w:p>
        </w:tc>
      </w:tr>
      <w:tr>
        <w:tc>
          <w:tcPr/>
          <w:p>
            <w:pPr>
              <w:pStyle w:val="Compact"/>
              <w:spacing w:line="276" w:lineRule="auto" w:before="0" w:after="0"/>
              <w:jc w:val="center"/>
            </w:pPr>
            <w:r>
              <w:rPr>
                <w:rFonts w:ascii="Times New Roman" w:hAnsi="Times New Roman" w:cs="Times New Roman" w:eastAsia="Times New Roman"/>
                <w:sz w:val="22"/>
              </w:rPr>
              <w:t xml:space="preserve">1C</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463</w:t>
            </w:r>
          </w:p>
        </w:tc>
        <w:tc>
          <w:tcPr/>
          <w:p>
            <w:pPr>
              <w:pStyle w:val="Compact"/>
              <w:spacing w:line="276" w:lineRule="auto" w:before="0" w:after="0"/>
              <w:jc w:val="right"/>
            </w:pPr>
            <w:r>
              <w:rPr>
                <w:rFonts w:ascii="Times New Roman" w:hAnsi="Times New Roman" w:cs="Times New Roman" w:eastAsia="Times New Roman"/>
                <w:sz w:val="22"/>
              </w:rPr>
              <w:t xml:space="preserve">413</w:t>
            </w:r>
          </w:p>
        </w:tc>
        <w:tc>
          <w:tcPr/>
          <w:p>
            <w:pPr>
              <w:pStyle w:val="Compact"/>
              <w:spacing w:line="276" w:lineRule="auto" w:before="0" w:after="0"/>
              <w:jc w:val="right"/>
            </w:pPr>
            <w:r>
              <w:rPr>
                <w:rFonts w:ascii="Times New Roman" w:hAnsi="Times New Roman" w:cs="Times New Roman" w:eastAsia="Times New Roman"/>
                <w:sz w:val="22"/>
              </w:rPr>
              <w:t xml:space="preserve">115,680</w:t>
            </w:r>
          </w:p>
        </w:tc>
        <w:tc>
          <w:tcPr/>
          <w:p>
            <w:pPr>
              <w:pStyle w:val="Compact"/>
              <w:spacing w:line="276" w:lineRule="auto" w:before="0" w:after="0"/>
              <w:jc w:val="right"/>
            </w:pPr>
            <w:r>
              <w:rPr>
                <w:rFonts w:ascii="Times New Roman" w:hAnsi="Times New Roman" w:cs="Times New Roman" w:eastAsia="Times New Roman"/>
                <w:sz w:val="22"/>
              </w:rPr>
              <w:t xml:space="preserve">31.92</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4,445</w:t>
            </w:r>
          </w:p>
        </w:tc>
        <w:tc>
          <w:tcPr/>
          <w:p>
            <w:pPr>
              <w:pStyle w:val="Compact"/>
              <w:spacing w:line="276" w:lineRule="auto" w:before="0" w:after="0"/>
            </w:pPr>
            <w:r>
              <w:rPr>
                <w:rFonts w:ascii="Times New Roman" w:hAnsi="Times New Roman" w:cs="Times New Roman" w:eastAsia="Times New Roman"/>
                <w:sz w:val="22"/>
              </w:rPr>
              <w:t xml:space="preserve">0.89%</w:t>
            </w:r>
          </w:p>
        </w:tc>
      </w:tr>
      <w:tr>
        <w:tc>
          <w:tcPr/>
          <w:p>
            <w:pPr>
              <w:pStyle w:val="Compact"/>
              <w:spacing w:line="276" w:lineRule="auto" w:before="0" w:after="0"/>
              <w:jc w:val="center"/>
            </w:pPr>
            <w:r>
              <w:rPr>
                <w:rFonts w:ascii="Times New Roman" w:hAnsi="Times New Roman" w:cs="Times New Roman" w:eastAsia="Times New Roman"/>
                <w:sz w:val="22"/>
              </w:rPr>
              <w:t xml:space="preserve">1D</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100</w:t>
            </w:r>
          </w:p>
        </w:tc>
        <w:tc>
          <w:tcPr/>
          <w:p>
            <w:pPr>
              <w:pStyle w:val="Compact"/>
              <w:spacing w:line="276" w:lineRule="auto" w:before="0" w:after="0"/>
              <w:jc w:val="right"/>
            </w:pPr>
            <w:r>
              <w:rPr>
                <w:rFonts w:ascii="Times New Roman" w:hAnsi="Times New Roman" w:cs="Times New Roman" w:eastAsia="Times New Roman"/>
                <w:sz w:val="22"/>
              </w:rPr>
              <w:t xml:space="preserve">90</w:t>
            </w:r>
          </w:p>
        </w:tc>
        <w:tc>
          <w:tcPr/>
          <w:p>
            <w:pPr>
              <w:pStyle w:val="Compact"/>
              <w:spacing w:line="276" w:lineRule="auto" w:before="0" w:after="0"/>
              <w:jc w:val="right"/>
            </w:pPr>
            <w:r>
              <w:rPr>
                <w:rFonts w:ascii="Times New Roman" w:hAnsi="Times New Roman" w:cs="Times New Roman" w:eastAsia="Times New Roman"/>
                <w:sz w:val="22"/>
              </w:rPr>
              <w:t xml:space="preserve">25,675</w:t>
            </w:r>
          </w:p>
        </w:tc>
        <w:tc>
          <w:tcPr/>
          <w:p>
            <w:pPr>
              <w:pStyle w:val="Compact"/>
              <w:spacing w:line="276" w:lineRule="auto" w:before="0" w:after="0"/>
              <w:jc w:val="right"/>
            </w:pPr>
            <w:r>
              <w:rPr>
                <w:rFonts w:ascii="Times New Roman" w:hAnsi="Times New Roman" w:cs="Times New Roman" w:eastAsia="Times New Roman"/>
                <w:sz w:val="22"/>
              </w:rPr>
              <w:t xml:space="preserve">31.91</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4,440</w:t>
            </w:r>
          </w:p>
        </w:tc>
        <w:tc>
          <w:tcPr/>
          <w:p>
            <w:pPr>
              <w:pStyle w:val="Compact"/>
              <w:spacing w:line="276" w:lineRule="auto" w:before="0" w:after="0"/>
            </w:pPr>
            <w:r>
              <w:rPr>
                <w:rFonts w:ascii="Times New Roman" w:hAnsi="Times New Roman" w:cs="Times New Roman" w:eastAsia="Times New Roman"/>
                <w:sz w:val="22"/>
              </w:rPr>
              <w:t xml:space="preserve">0.20%</w:t>
            </w:r>
          </w:p>
        </w:tc>
      </w:tr>
      <w:tr>
        <w:tc>
          <w:tcPr/>
          <w:p>
            <w:pPr>
              <w:pStyle w:val="Compact"/>
              <w:spacing w:line="276" w:lineRule="auto" w:before="0" w:after="0"/>
              <w:jc w:val="center"/>
            </w:pPr>
            <w:r>
              <w:rPr>
                <w:rFonts w:ascii="Times New Roman" w:hAnsi="Times New Roman" w:cs="Times New Roman" w:eastAsia="Times New Roman"/>
                <w:sz w:val="22"/>
              </w:rPr>
              <w:t xml:space="preserve">1B</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304</w:t>
            </w:r>
          </w:p>
        </w:tc>
        <w:tc>
          <w:tcPr/>
          <w:p>
            <w:pPr>
              <w:pStyle w:val="Compact"/>
              <w:spacing w:line="276" w:lineRule="auto" w:before="0" w:after="0"/>
              <w:jc w:val="right"/>
            </w:pPr>
            <w:r>
              <w:rPr>
                <w:rFonts w:ascii="Times New Roman" w:hAnsi="Times New Roman" w:cs="Times New Roman" w:eastAsia="Times New Roman"/>
                <w:sz w:val="22"/>
              </w:rPr>
              <w:t xml:space="preserve">245</w:t>
            </w:r>
          </w:p>
        </w:tc>
        <w:tc>
          <w:tcPr/>
          <w:p>
            <w:pPr>
              <w:pStyle w:val="Compact"/>
              <w:spacing w:line="276" w:lineRule="auto" w:before="0" w:after="0"/>
              <w:jc w:val="right"/>
            </w:pPr>
            <w:r>
              <w:rPr>
                <w:rFonts w:ascii="Times New Roman" w:hAnsi="Times New Roman" w:cs="Times New Roman" w:eastAsia="Times New Roman"/>
                <w:sz w:val="22"/>
              </w:rPr>
              <w:t xml:space="preserve">61,128</w:t>
            </w:r>
          </w:p>
        </w:tc>
        <w:tc>
          <w:tcPr/>
          <w:p>
            <w:pPr>
              <w:pStyle w:val="Compact"/>
              <w:spacing w:line="276" w:lineRule="auto" w:before="0" w:after="0"/>
              <w:jc w:val="right"/>
            </w:pPr>
            <w:r>
              <w:rPr>
                <w:rFonts w:ascii="Times New Roman" w:hAnsi="Times New Roman" w:cs="Times New Roman" w:eastAsia="Times New Roman"/>
                <w:sz w:val="22"/>
              </w:rPr>
              <w:t xml:space="preserve">31.89</w:t>
            </w:r>
          </w:p>
        </w:tc>
        <w:tc>
          <w:tcPr/>
          <w:p>
            <w:pPr>
              <w:pStyle w:val="Compact"/>
              <w:spacing w:line="276" w:lineRule="auto" w:before="0" w:after="0"/>
              <w:jc w:val="right"/>
            </w:pPr>
            <w:r>
              <w:rPr>
                <w:rFonts w:ascii="Times New Roman" w:hAnsi="Times New Roman" w:cs="Times New Roman" w:eastAsia="Times New Roman"/>
                <w:sz w:val="22"/>
              </w:rPr>
              <w:t xml:space="preserve">324</w:t>
            </w:r>
          </w:p>
        </w:tc>
        <w:tc>
          <w:tcPr/>
          <w:p>
            <w:pPr>
              <w:pStyle w:val="Compact"/>
              <w:spacing w:line="276" w:lineRule="auto" w:before="0" w:after="0"/>
              <w:jc w:val="right"/>
            </w:pPr>
            <w:r>
              <w:rPr>
                <w:rFonts w:ascii="Times New Roman" w:hAnsi="Times New Roman" w:cs="Times New Roman" w:eastAsia="Times New Roman"/>
                <w:sz w:val="22"/>
              </w:rPr>
              <w:t xml:space="preserve">4,418</w:t>
            </w:r>
          </w:p>
        </w:tc>
        <w:tc>
          <w:tcPr/>
          <w:p>
            <w:pPr>
              <w:pStyle w:val="Compact"/>
              <w:spacing w:line="276" w:lineRule="auto" w:before="0" w:after="0"/>
            </w:pPr>
            <w:r>
              <w:rPr>
                <w:rFonts w:ascii="Times New Roman" w:hAnsi="Times New Roman" w:cs="Times New Roman" w:eastAsia="Times New Roman"/>
                <w:sz w:val="22"/>
              </w:rPr>
              <w:t xml:space="preserve">0.47%</w:t>
            </w:r>
          </w:p>
        </w:tc>
      </w:tr>
      <w:tr>
        <w:tc>
          <w:tcPr/>
          <w:p>
            <w:pPr>
              <w:pStyle w:val="Compact"/>
              <w:spacing w:line="276" w:lineRule="auto" w:before="0" w:after="0"/>
              <w:jc w:val="center"/>
            </w:pPr>
            <w:r>
              <w:rPr>
                <w:rFonts w:ascii="Times New Roman" w:hAnsi="Times New Roman" w:cs="Times New Roman" w:eastAsia="Times New Roman"/>
                <w:sz w:val="22"/>
              </w:rPr>
              <w:t xml:space="preserve">3D</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right"/>
            </w:pPr>
            <w:r>
              <w:rPr>
                <w:rFonts w:ascii="Times New Roman" w:hAnsi="Times New Roman" w:cs="Times New Roman" w:eastAsia="Times New Roman"/>
                <w:sz w:val="22"/>
              </w:rPr>
              <w:t xml:space="preserve">7</w:t>
            </w:r>
          </w:p>
        </w:tc>
        <w:tc>
          <w:tcPr/>
          <w:p>
            <w:pPr>
              <w:pStyle w:val="Compact"/>
              <w:spacing w:line="276" w:lineRule="auto" w:before="0" w:after="0"/>
              <w:jc w:val="right"/>
            </w:pPr>
            <w:r>
              <w:rPr>
                <w:rFonts w:ascii="Times New Roman" w:hAnsi="Times New Roman" w:cs="Times New Roman" w:eastAsia="Times New Roman"/>
                <w:sz w:val="22"/>
              </w:rPr>
              <w:t xml:space="preserve">5</w:t>
            </w:r>
          </w:p>
        </w:tc>
        <w:tc>
          <w:tcPr/>
          <w:p>
            <w:pPr>
              <w:pStyle w:val="Compact"/>
              <w:spacing w:line="276" w:lineRule="auto" w:before="0" w:after="0"/>
              <w:jc w:val="right"/>
            </w:pPr>
            <w:r>
              <w:rPr>
                <w:rFonts w:ascii="Times New Roman" w:hAnsi="Times New Roman" w:cs="Times New Roman" w:eastAsia="Times New Roman"/>
                <w:sz w:val="22"/>
              </w:rPr>
              <w:t xml:space="preserve">526</w:t>
            </w:r>
          </w:p>
        </w:tc>
        <w:tc>
          <w:tcPr/>
          <w:p>
            <w:pPr>
              <w:pStyle w:val="Compact"/>
              <w:spacing w:line="276" w:lineRule="auto" w:before="0" w:after="0"/>
              <w:jc w:val="right"/>
            </w:pPr>
            <w:r>
              <w:rPr>
                <w:rFonts w:ascii="Times New Roman" w:hAnsi="Times New Roman" w:cs="Times New Roman" w:eastAsia="Times New Roman"/>
                <w:sz w:val="22"/>
              </w:rPr>
              <w:t xml:space="preserve">31.88</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4,411</w:t>
            </w:r>
          </w:p>
        </w:tc>
        <w:tc>
          <w:tcPr/>
          <w:p>
            <w:pPr>
              <w:pStyle w:val="Compact"/>
              <w:spacing w:line="276" w:lineRule="auto" w:before="0" w:after="0"/>
            </w:pPr>
            <w:r>
              <w:rPr>
                <w:rFonts w:ascii="Times New Roman" w:hAnsi="Times New Roman" w:cs="Times New Roman" w:eastAsia="Times New Roman"/>
                <w:sz w:val="22"/>
              </w:rPr>
              <w:t xml:space="preserve">0.004%</w:t>
            </w:r>
          </w:p>
        </w:tc>
      </w:tr>
    </w:tbl>
    <w:p>
      <w:pPr>
        <w:pStyle w:val="BodyText"/>
        <w:spacing w:line="480" w:lineRule="auto" w:before="0" w:after="0"/>
        <w:ind w:firstLine="0"/>
        <w:jc w:val="lef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 grids (total)”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number of 100-m cells in the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 grids (populated)”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subset with non-zero WorldPop population, used for population-weighted exposure metrics.</w:t>
      </w:r>
    </w:p>
    <w:bookmarkEnd w:id="71"/>
    <w:bookmarkEnd w:id="72"/>
    <w:bookmarkStart w:id="85" w:name="figures"/>
    <w:p>
      <w:pPr>
        <w:pStyle w:val="Heading1"/>
        <w:spacing w:line="480" w:lineRule="auto" w:before="480" w:after="240"/>
        <w:ind w:firstLine="0"/>
        <w:jc w:val="left"/>
      </w:pPr>
      <w:r>
        <w:rPr>
          <w:rFonts w:ascii="Times New Roman" w:hAnsi="Times New Roman" w:cs="Times New Roman" w:eastAsia="Times New Roman"/>
          <w:b/>
          <w:sz w:val="24"/>
        </w:rPr>
        <w:t xml:space="preserve">Figures</w:t>
      </w:r>
    </w:p>
    <w:bookmarkStart w:id="73" w:name="Xcfbe6d9203425e7e67f9862725bdc4799e5764c"/>
    <w:p>
      <w:pPr>
        <w:pStyle w:val="Heading2"/>
        <w:spacing w:line="480" w:lineRule="auto" w:before="360" w:after="180"/>
        <w:ind w:firstLine="0"/>
        <w:jc w:val="left"/>
      </w:pPr>
      <w:r>
        <w:rPr>
          <w:rFonts w:ascii="Times New Roman" w:hAnsi="Times New Roman" w:cs="Times New Roman" w:eastAsia="Times New Roman"/>
          <w:b/>
          <w:sz w:val="24"/>
        </w:rPr>
        <w:t xml:space="preserve">Figure 1. Study site and input data: Shenzhen, Greater Bay Area.</w:t>
      </w:r>
    </w:p>
    <w:p>
      <w:pPr>
        <w:spacing w:line="480" w:lineRule="auto" w:before="0" w:after="0"/>
        <w:ind w:firstLine="0"/>
        <w:jc w:val="left"/>
      </w:pPr>
      <w:r>
        <w:rPr>
          <w:rFonts w:ascii="Times New Roman" w:hAnsi="Times New Roman" w:cs="Times New Roman" w:eastAsia="Times New Roman"/>
          <w:sz w:val="24"/>
        </w:rPr>
        <w:drawing>
          <wp:inline>
            <wp:extent cx="5943600" cy="1884337"/>
            <wp:docPr id="1" name="Picture 1"/>
            <wp:cNvGraphicFramePr>
              <a:graphicFrameLocks noChangeAspect="1"/>
            </wp:cNvGraphicFramePr>
            <a:graphic>
              <a:graphicData uri="http://schemas.openxmlformats.org/drawingml/2006/picture">
                <pic:pic>
                  <pic:nvPicPr>
                    <pic:cNvPr id="0" name="fig01_concept.png"/>
                    <pic:cNvPicPr/>
                  </pic:nvPicPr>
                  <pic:blipFill>
                    <a:blip r:embed="rId9"/>
                    <a:stretch>
                      <a:fillRect/>
                    </a:stretch>
                  </pic:blipFill>
                  <pic:spPr>
                    <a:xfrm>
                      <a:off x="0" y="0"/>
                      <a:ext cx="5943600" cy="1884337"/>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Three 100-m gridded layers underpin the WUDAPT-FUSE pipeline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(framework shown in Fig. 2). Dashed lines mark ERA5-HEAT 25-km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parent cells (C1–C8). (a) Demuzere et al. (2022) Local Climate Zone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 at 100 m, overlaid with eight ERA5-HEAT 25-km cells;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colors follow the Stewart–Oke (2012) standard. (b) WorldPop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at 100 m (constrained product); city total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14.67 million. (c) Synthesized 100-m UTCI mean for July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produced by the deviation-injection method (Methods §2.3); range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21.6–41.6 °C, population-weighted mean 30.84 °C, max strong-heat-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stress duration 337 h. Panels (a)–(c) are Shenzhen examples;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processed with identical inputs,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analyzed in Section 3.12 and Figure 12.</w:t>
      </w:r>
    </w:p>
    <w:bookmarkEnd w:id="73"/>
    <w:bookmarkStart w:id="74" w:name="Xb1007167738cdd3f90fc8cf5b4ae17b11d83bcf"/>
    <w:p>
      <w:pPr>
        <w:pStyle w:val="Heading2"/>
        <w:spacing w:line="480" w:lineRule="auto" w:before="360" w:after="180"/>
        <w:ind w:firstLine="0"/>
        <w:jc w:val="left"/>
      </w:pPr>
      <w:r>
        <w:rPr>
          <w:rFonts w:ascii="Times New Roman" w:hAnsi="Times New Roman" w:cs="Times New Roman" w:eastAsia="Times New Roman"/>
          <w:b/>
          <w:sz w:val="24"/>
        </w:rPr>
        <w:t xml:space="preserve">Figure 2. WUDAPT-FUSE framework: research logic chain.</w:t>
      </w:r>
    </w:p>
    <w:p>
      <w:pPr>
        <w:spacing w:line="480" w:lineRule="auto" w:before="0" w:after="0"/>
        <w:ind w:firstLine="0"/>
        <w:jc w:val="left"/>
      </w:pPr>
      <w:r>
        <w:rPr>
          <w:rFonts w:ascii="Times New Roman" w:hAnsi="Times New Roman" w:cs="Times New Roman" w:eastAsia="Times New Roman"/>
          <w:sz w:val="24"/>
        </w:rPr>
        <w:drawing>
          <wp:inline>
            <wp:extent cx="5943600" cy="6037411"/>
            <wp:docPr id="2" name="Picture 2"/>
            <wp:cNvGraphicFramePr>
              <a:graphicFrameLocks noChangeAspect="1"/>
            </wp:cNvGraphicFramePr>
            <a:graphic>
              <a:graphicData uri="http://schemas.openxmlformats.org/drawingml/2006/picture">
                <pic:pic>
                  <pic:nvPicPr>
                    <pic:cNvPr id="0" name="fig02_framework.png"/>
                    <pic:cNvPicPr/>
                  </pic:nvPicPr>
                  <pic:blipFill>
                    <a:blip r:embed="rId10"/>
                    <a:stretch>
                      <a:fillRect/>
                    </a:stretch>
                  </pic:blipFill>
                  <pic:spPr>
                    <a:xfrm>
                      <a:off x="0" y="0"/>
                      <a:ext cx="5943600" cy="6037411"/>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Four-stage analytical pipeline integrating data fusion,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synthesis, hypothesis testing, and mechanism validation.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fuses four open data sources—ERA5-HEAT (25 km × 1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reanalysis), Demuzere LCZ map (100 m), WorldPop 2020 (100 m),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OpenStreetMap building footprints.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synthesizes hourly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100-m UTCI for three GBA cities (Shenzhen, Guangzhou, 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across four seasons of 2020 (~13,000 grid-hour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 a deviation-injection method that preserves both city-mean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ERA5 dynamics and LCZ-class spatial heterogeneity.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computes population-weighted Gini coefficients with Pyatt–Yitzhaki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decomposition and tests four independent feature families: H1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(8 OSM-derived UMPs, 39 subcategories, −1.0 pp), H2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topology (5 PH-proxy features, 19 subcategories, −0.2 pp), H3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form + topology hybrid (13 features, 32 subcategories, −0.9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H4 geography (coast + mountain distance + elevation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−10.8 pp; the only family exceeding the 5 pp threshold).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validates the geographic mechanism through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dimensions: physical (sea breeze + katabatic flow + canopy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shading), temporal (diurnal split + four seasons of 2020),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(cross-city transfer to Guangzhou and Dongguan).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Conclusion: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the population-weighted scale and under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deviation-injection identification structure,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geographic proxies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the most efficient indicators of within-LCZ heat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heterogeneity, dominating morphological and topological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subcategorization; the pattern is consistent with sea-breeze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katabatic-flow signatures, temporally robust, and city-compactness-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modulated.</w:t>
      </w:r>
    </w:p>
    <w:bookmarkEnd w:id="74"/>
    <w:bookmarkStart w:id="75" w:name="X6abeda75122e98d8fec3be3fa1afaf754bedd97"/>
    <w:p>
      <w:pPr>
        <w:pStyle w:val="Heading2"/>
        <w:spacing w:line="480" w:lineRule="auto" w:before="360" w:after="180"/>
        <w:ind w:firstLine="0"/>
        <w:jc w:val="left"/>
      </w:pPr>
      <w:r>
        <w:rPr>
          <w:rFonts w:ascii="Times New Roman" w:hAnsi="Times New Roman" w:cs="Times New Roman" w:eastAsia="Times New Roman"/>
          <w:b/>
          <w:sz w:val="24"/>
        </w:rPr>
        <w:t xml:space="preserve">Figure 3. UTCI dataset and baseline inequality.</w:t>
      </w:r>
    </w:p>
    <w:p>
      <w:pPr>
        <w:spacing w:line="480" w:lineRule="auto" w:before="0" w:after="0"/>
        <w:ind w:firstLine="0"/>
        <w:jc w:val="left"/>
      </w:pPr>
      <w:r>
        <w:rPr>
          <w:rFonts w:ascii="Times New Roman" w:hAnsi="Times New Roman" w:cs="Times New Roman" w:eastAsia="Times New Roman"/>
          <w:sz w:val="24"/>
        </w:rPr>
        <w:drawing>
          <wp:inline>
            <wp:extent cx="5943600" cy="4209005"/>
            <wp:docPr id="3" name="Picture 3"/>
            <wp:cNvGraphicFramePr>
              <a:graphicFrameLocks noChangeAspect="1"/>
            </wp:cNvGraphicFramePr>
            <a:graphic>
              <a:graphicData uri="http://schemas.openxmlformats.org/drawingml/2006/picture">
                <pic:pic>
                  <pic:nvPicPr>
                    <pic:cNvPr id="0" name="fig03_utci_inequality.png"/>
                    <pic:cNvPicPr/>
                  </pic:nvPicPr>
                  <pic:blipFill>
                    <a:blip r:embed="rId11"/>
                    <a:stretch>
                      <a:fillRect/>
                    </a:stretch>
                  </pic:blipFill>
                  <pic:spPr>
                    <a:xfrm>
                      <a:off x="0" y="0"/>
                      <a:ext cx="5943600" cy="4209005"/>
                    </a:xfrm>
                    <a:prstGeom prst="rect"/>
                  </pic:spPr>
                </pic:pic>
              </a:graphicData>
            </a:graphic>
          </wp:inline>
        </w:drawing>
      </w:r>
    </w:p>
    <w:p>
      <w:pPr>
        <w:pStyle w:val="Compact"/>
        <w:numPr>
          <w:ilvl w:val="0"/>
          <w:numId w:val="1020"/>
        </w:numPr>
        <w:spacing w:line="480" w:lineRule="auto" w:before="0" w:after="0"/>
        <w:ind w:firstLine="0"/>
        <w:jc w:val="left"/>
      </w:pPr>
      <w:r>
        <w:rPr>
          <w:rFonts w:ascii="Times New Roman" w:hAnsi="Times New Roman" w:cs="Times New Roman" w:eastAsia="Times New Roman"/>
          <w:sz w:val="24"/>
        </w:rPr>
        <w:t xml:space="preserve">Lorenz curves for three exposure metrics. The hottest 10% of population bears 11.0% of HDH burden. (b) Top 10 LCZ classes by HDH exposure share. LCZ 8 carries 40.6% of the city’s HDH burden. (c) Built-up LCZ thermal phase space: UTCI mean vs TSD. (d) Gini decomposition by LCZ-type grouping: within-group dominates. (e) Population-weighted distribution of UTCI mean. (f) Method comparison: real UTCI gives Gini values 2–6 times higher than the LCZ-AT proxy.</w:t>
      </w:r>
    </w:p>
    <w:bookmarkEnd w:id="75"/>
    <w:bookmarkStart w:id="76" w:name="Xdfa3890a8c19f2e80ca4a4cf5c684a35928a292"/>
    <w:p>
      <w:pPr>
        <w:pStyle w:val="Heading2"/>
        <w:spacing w:line="480" w:lineRule="auto" w:before="360" w:after="180"/>
        <w:ind w:firstLine="0"/>
        <w:jc w:val="left"/>
      </w:pPr>
      <w:r>
        <w:rPr>
          <w:rFonts w:ascii="Times New Roman" w:hAnsi="Times New Roman" w:cs="Times New Roman" w:eastAsia="Times New Roman"/>
          <w:b/>
          <w:sz w:val="24"/>
        </w:rPr>
        <w:t xml:space="preserve">Figure 4. LCZ subcategories from morphology.</w:t>
      </w:r>
    </w:p>
    <w:p>
      <w:pPr>
        <w:spacing w:line="480" w:lineRule="auto" w:before="0" w:after="0"/>
        <w:ind w:firstLine="0"/>
        <w:jc w:val="left"/>
      </w:pPr>
      <w:r>
        <w:rPr>
          <w:rFonts w:ascii="Times New Roman" w:hAnsi="Times New Roman" w:cs="Times New Roman" w:eastAsia="Times New Roman"/>
          <w:sz w:val="24"/>
        </w:rPr>
        <w:drawing>
          <wp:inline>
            <wp:extent cx="5943600" cy="4104511"/>
            <wp:docPr id="4" name="Picture 4"/>
            <wp:cNvGraphicFramePr>
              <a:graphicFrameLocks noChangeAspect="1"/>
            </wp:cNvGraphicFramePr>
            <a:graphic>
              <a:graphicData uri="http://schemas.openxmlformats.org/drawingml/2006/picture">
                <pic:pic>
                  <pic:nvPicPr>
                    <pic:cNvPr id="0" name="fig04_lcz_subcategories.png"/>
                    <pic:cNvPicPr/>
                  </pic:nvPicPr>
                  <pic:blipFill>
                    <a:blip r:embed="rId12"/>
                    <a:stretch>
                      <a:fillRect/>
                    </a:stretch>
                  </pic:blipFill>
                  <pic:spPr>
                    <a:xfrm>
                      <a:off x="0" y="0"/>
                      <a:ext cx="5943600" cy="4104511"/>
                    </a:xfrm>
                    <a:prstGeom prst="rect"/>
                  </pic:spPr>
                </pic:pic>
              </a:graphicData>
            </a:graphic>
          </wp:inline>
        </w:drawing>
      </w:r>
    </w:p>
    <w:p>
      <w:pPr>
        <w:pStyle w:val="Compact"/>
        <w:numPr>
          <w:ilvl w:val="0"/>
          <w:numId w:val="1021"/>
        </w:numPr>
        <w:spacing w:line="480" w:lineRule="auto" w:before="0" w:after="0"/>
        <w:ind w:firstLine="0"/>
        <w:jc w:val="left"/>
      </w:pPr>
      <w:r>
        <w:rPr>
          <w:rFonts w:ascii="Times New Roman" w:hAnsi="Times New Roman" w:cs="Times New Roman" w:eastAsia="Times New Roman"/>
          <w:sz w:val="24"/>
        </w:rPr>
        <w:t xml:space="preserve">Number of subcategories per built-up LCZ class (range 2–5; total 39). (b) Subcategory positions in BSF-MBH phase space; marker size proportional to grid count. (c) Silhouette coefficients per LCZ; all values exceed 0.5. (d) Radar chart of normalized UMPs (BSF, MBH, SBH, SVF, PSF) for the five LCZ 1 subcategories.</w:t>
      </w:r>
    </w:p>
    <w:bookmarkEnd w:id="76"/>
    <w:bookmarkStart w:id="77" w:name="X6d9a52c2d0d55c6301f69c3539fac19476644d9"/>
    <w:p>
      <w:pPr>
        <w:pStyle w:val="Heading2"/>
        <w:spacing w:line="480" w:lineRule="auto" w:before="360" w:after="180"/>
        <w:ind w:firstLine="0"/>
        <w:jc w:val="left"/>
      </w:pPr>
      <w:r>
        <w:rPr>
          <w:rFonts w:ascii="Times New Roman" w:hAnsi="Times New Roman" w:cs="Times New Roman" w:eastAsia="Times New Roman"/>
          <w:b/>
          <w:sz w:val="24"/>
        </w:rPr>
        <w:t xml:space="preserve">Figure 12. Cross-city validation in three GBA cities (Phase 8).</w:t>
      </w:r>
    </w:p>
    <w:p>
      <w:pPr>
        <w:spacing w:line="480" w:lineRule="auto" w:before="0" w:after="0"/>
        <w:ind w:firstLine="0"/>
        <w:jc w:val="left"/>
      </w:pPr>
      <w:r>
        <w:rPr>
          <w:rFonts w:ascii="Times New Roman" w:hAnsi="Times New Roman" w:cs="Times New Roman" w:eastAsia="Times New Roman"/>
          <w:sz w:val="24"/>
        </w:rPr>
        <w:drawing>
          <wp:inline>
            <wp:extent cx="5943600" cy="3118748"/>
            <wp:docPr id="12" name="Picture 12"/>
            <wp:cNvGraphicFramePr>
              <a:graphicFrameLocks noChangeAspect="1"/>
            </wp:cNvGraphicFramePr>
            <a:graphic>
              <a:graphicData uri="http://schemas.openxmlformats.org/drawingml/2006/picture">
                <pic:pic>
                  <pic:nvPicPr>
                    <pic:cNvPr id="0" name="fig12_multicity_validation.png"/>
                    <pic:cNvPicPr/>
                  </pic:nvPicPr>
                  <pic:blipFill>
                    <a:blip r:embed="rId20"/>
                    <a:stretch>
                      <a:fillRect/>
                    </a:stretch>
                  </pic:blipFill>
                  <pic:spPr>
                    <a:xfrm>
                      <a:off x="0" y="0"/>
                      <a:ext cx="5943600" cy="3118748"/>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Three GBA cities (Shenzhen, Guangzhou, Dongguan) processed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same WUDAPT-FUSE pipeline, four seasons each. (a) Coast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Gini reduction by city and season.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 dashed) is exceeded in all 4 Shenzhen seasons, 3 of 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seasons, and none of Guangzhou’s. (b) Mean single-feature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 (Coast only and Mountain only, averaged across 4 seasons)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city. Mountain dominates Coast in Shenzhen and Dongguan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not Guangzhou. (c) Seasonal UTCI cycle by city; the three 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have nearly identical baseline temperatures, so differences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strength are not driven by temperature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differences. (d) Cross-city robustness: % seasons passing the 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threshold (Shenzhen 100 %, Dongguan 75 %, Guangzhou 0 %).</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direct evidence that the geographic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generalises to compact GBA cities (Shenzhen, Dongguan) but not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sprawling case (Guangzhou). City compactness, not raw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or coast coverage, is the key moderator.</w:t>
      </w:r>
    </w:p>
    <w:bookmarkEnd w:id="77"/>
    <w:bookmarkStart w:id="78" w:name="X4fb2d63699db3fb981f064792e74681d21f6416"/>
    <w:p>
      <w:pPr>
        <w:pStyle w:val="Heading2"/>
        <w:spacing w:line="480" w:lineRule="auto" w:before="360" w:after="180"/>
        <w:ind w:firstLine="0"/>
        <w:jc w:val="left"/>
      </w:pPr>
      <w:r>
        <w:rPr>
          <w:rFonts w:ascii="Times New Roman" w:hAnsi="Times New Roman" w:cs="Times New Roman" w:eastAsia="Times New Roman"/>
          <w:b/>
          <w:sz w:val="24"/>
        </w:rPr>
        <w:t xml:space="preserve">Figure 11. Seasonal robustness of geographic mechanism (Phase 7 L2).</w:t>
      </w:r>
    </w:p>
    <w:p>
      <w:pPr>
        <w:spacing w:line="480" w:lineRule="auto" w:before="0" w:after="0"/>
        <w:ind w:firstLine="0"/>
        <w:jc w:val="left"/>
      </w:pPr>
      <w:r>
        <w:rPr>
          <w:rFonts w:ascii="Times New Roman" w:hAnsi="Times New Roman" w:cs="Times New Roman" w:eastAsia="Times New Roman"/>
          <w:sz w:val="24"/>
        </w:rPr>
        <w:drawing>
          <wp:inline>
            <wp:extent cx="5943600" cy="2900477"/>
            <wp:docPr id="11" name="Picture 11"/>
            <wp:cNvGraphicFramePr>
              <a:graphicFrameLocks noChangeAspect="1"/>
            </wp:cNvGraphicFramePr>
            <a:graphic>
              <a:graphicData uri="http://schemas.openxmlformats.org/drawingml/2006/picture">
                <pic:pic>
                  <pic:nvPicPr>
                    <pic:cNvPr id="0" name="fig11_seasonal_robustness.png"/>
                    <pic:cNvPicPr/>
                  </pic:nvPicPr>
                  <pic:blipFill>
                    <a:blip r:embed="rId19"/>
                    <a:stretch>
                      <a:fillRect/>
                    </a:stretch>
                  </pic:blipFill>
                  <pic:spPr>
                    <a:xfrm>
                      <a:off x="0" y="0"/>
                      <a:ext cx="5943600" cy="2900477"/>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Four months of 2020 (January, April, July, October) were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synthesized as 100-m UTCI and re-analyzed with the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decomposition. (a) Within-class Gini reduction by season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three feature schemes (Coast only, Mountain only,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combined scheme exceeds the 5 pp threshold (red dashed)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every season. (b) Mean UTCI baseline by season, ranging from 13.4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 (winter) to 31.0 °C (summer). (c) Stability of the two single-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mechanisms across seasons: Coast contribution is nearly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flat (~3.5 pp year-round), while Mountain contribution scales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sharply with summer warmth (winter +2.65, summer +8.63 pp).</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direct evidence that the geographic dominance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morphology (Phase 6) is not a summer-only result and that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distance features capture physically distinct processes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different seasonal signatures.</w:t>
      </w:r>
    </w:p>
    <w:bookmarkEnd w:id="78"/>
    <w:bookmarkStart w:id="79" w:name="X32b5216b28c1ee2ff6d208b5cff8f97496ed36d"/>
    <w:p>
      <w:pPr>
        <w:pStyle w:val="Heading2"/>
        <w:spacing w:line="480" w:lineRule="auto" w:before="360" w:after="180"/>
        <w:ind w:firstLine="0"/>
        <w:jc w:val="left"/>
      </w:pPr>
      <w:r>
        <w:rPr>
          <w:rFonts w:ascii="Times New Roman" w:hAnsi="Times New Roman" w:cs="Times New Roman" w:eastAsia="Times New Roman"/>
          <w:b/>
          <w:sz w:val="24"/>
        </w:rPr>
        <w:t xml:space="preserve">Figure 10. Diurnal validation of physical mechanism (Phase 7 L1).</w:t>
      </w:r>
    </w:p>
    <w:p>
      <w:pPr>
        <w:spacing w:line="480" w:lineRule="auto" w:before="0" w:after="0"/>
        <w:ind w:firstLine="0"/>
        <w:jc w:val="left"/>
      </w:pPr>
      <w:r>
        <w:rPr>
          <w:rFonts w:ascii="Times New Roman" w:hAnsi="Times New Roman" w:cs="Times New Roman" w:eastAsia="Times New Roman"/>
          <w:sz w:val="24"/>
        </w:rPr>
        <w:drawing>
          <wp:inline>
            <wp:extent cx="5943600" cy="3326746"/>
            <wp:docPr id="10" name="Picture 10"/>
            <wp:cNvGraphicFramePr>
              <a:graphicFrameLocks noChangeAspect="1"/>
            </wp:cNvGraphicFramePr>
            <a:graphic>
              <a:graphicData uri="http://schemas.openxmlformats.org/drawingml/2006/picture">
                <pic:pic>
                  <pic:nvPicPr>
                    <pic:cNvPr id="0" name="fig10_diurnal_mechanism.png"/>
                    <pic:cNvPicPr/>
                  </pic:nvPicPr>
                  <pic:blipFill>
                    <a:blip r:embed="rId18"/>
                    <a:stretch>
                      <a:fillRect/>
                    </a:stretch>
                  </pic:blipFill>
                  <pic:spPr>
                    <a:xfrm>
                      <a:off x="0" y="0"/>
                      <a:ext cx="5943600" cy="3326746"/>
                    </a:xfrm>
                    <a:prstGeom prst="rect"/>
                  </pic:spPr>
                </pic:pic>
              </a:graphicData>
            </a:graphic>
          </wp:inline>
        </w:drawing>
      </w:r>
    </w:p>
    <w:p>
      <w:pPr>
        <w:pStyle w:val="Compact"/>
        <w:numPr>
          <w:ilvl w:val="0"/>
          <w:numId w:val="1022"/>
        </w:numPr>
        <w:spacing w:line="480" w:lineRule="auto" w:before="0" w:after="0"/>
        <w:ind w:firstLine="0"/>
        <w:jc w:val="left"/>
      </w:pPr>
      <w:r>
        <w:rPr>
          <w:rFonts w:ascii="Times New Roman" w:hAnsi="Times New Roman" w:cs="Times New Roman" w:eastAsia="Times New Roman"/>
          <w:sz w:val="24"/>
        </w:rPr>
        <w:t xml:space="preserve">Day vs night Gini reduction for three feature schemes.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is 39 % larger during the day (sea breeze daytime peak);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17 % larger at night (katabatic flow).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combined coast+mountain scheme is high in both periods. (b) 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Pearson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daytime UTCI vs distance to coast/mountain.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Same for nighttime. (d) Mean UTCI as a function of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separated by day (orange) and night (blue). The day curve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shows a more pronounced inland-warming gradient. (e) Mean UTCI 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function of distance to mountain. Both day and night show cooling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 mountains, but the night gradient is sharper.</w:t>
      </w:r>
    </w:p>
    <w:p>
      <w:pPr>
        <w:pStyle w:val="FirstParagraph"/>
        <w:spacing w:line="480" w:lineRule="auto" w:before="0" w:after="0"/>
        <w:ind w:firstLine="0"/>
        <w:jc w:val="left"/>
      </w:pPr>
      <w:r>
        <w:rPr>
          <w:rFonts w:ascii="Times New Roman" w:hAnsi="Times New Roman" w:cs="Times New Roman" w:eastAsia="Times New Roman"/>
          <w:sz w:val="24"/>
        </w:rPr>
        <w:t xml:space="preserve">The figure demonstrates that the geographic Gini breakthrough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Phase 6 is mechanistically grounded in two well-known mesoscale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processes that operate on different timescales: daytime sea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nighttime katabatic drainage.</w:t>
      </w:r>
    </w:p>
    <w:bookmarkEnd w:id="79"/>
    <w:bookmarkStart w:id="80" w:name="Xc9a5ce6928224b9cef59253cdf686349a39b6a7"/>
    <w:p>
      <w:pPr>
        <w:pStyle w:val="Heading2"/>
        <w:spacing w:line="480" w:lineRule="auto" w:before="360" w:after="180"/>
        <w:ind w:firstLine="0"/>
        <w:jc w:val="left"/>
      </w:pPr>
      <w:r>
        <w:rPr>
          <w:rFonts w:ascii="Times New Roman" w:hAnsi="Times New Roman" w:cs="Times New Roman" w:eastAsia="Times New Roman"/>
          <w:b/>
          <w:sz w:val="24"/>
        </w:rPr>
        <w:t xml:space="preserve">Figure 9. Physical mechanism — coast and mountain drive within-class heat inequality.</w:t>
      </w:r>
    </w:p>
    <w:p>
      <w:pPr>
        <w:spacing w:line="480" w:lineRule="auto" w:before="0" w:after="0"/>
        <w:ind w:firstLine="0"/>
        <w:jc w:val="left"/>
      </w:pPr>
      <w:r>
        <w:rPr>
          <w:rFonts w:ascii="Times New Roman" w:hAnsi="Times New Roman" w:cs="Times New Roman" w:eastAsia="Times New Roman"/>
          <w:sz w:val="24"/>
        </w:rPr>
        <w:drawing>
          <wp:inline>
            <wp:extent cx="5943600" cy="3509842"/>
            <wp:docPr id="9" name="Picture 9"/>
            <wp:cNvGraphicFramePr>
              <a:graphicFrameLocks noChangeAspect="1"/>
            </wp:cNvGraphicFramePr>
            <a:graphic>
              <a:graphicData uri="http://schemas.openxmlformats.org/drawingml/2006/picture">
                <pic:pic>
                  <pic:nvPicPr>
                    <pic:cNvPr id="0" name="fig09_geography_mechanism.png"/>
                    <pic:cNvPicPr/>
                  </pic:nvPicPr>
                  <pic:blipFill>
                    <a:blip r:embed="rId17"/>
                    <a:stretch>
                      <a:fillRect/>
                    </a:stretch>
                  </pic:blipFill>
                  <pic:spPr>
                    <a:xfrm>
                      <a:off x="0" y="0"/>
                      <a:ext cx="5943600" cy="3509842"/>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Phase 6.5 decomposes the Phase 6 geography breakthrough into 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physical components. (a) Mean UTCI as a function of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nearest water body, stratified by major built-up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2, 4, 6, 8, 9). UTCI rises by 0.2–0.5 °C from the coast inland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most LCZ classes. (b) Mean UTCI as a function of distance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nearest mountain (LCZ 11/12 dense forest patches). In several built-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up LCZ classes, cells closer to the mountain belt are 0.3–0.5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cooler than cells far from it. (c) Within-LCZ Pearson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UTCI against distance to coast, mountain, and the elevation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Negative</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mountain in LCZ 4, 8, and 10 (</w:t>
      </w:r>
      <m:oMath>
        <m:r>
          <m:t>r</m:t>
        </m:r>
        <m:r>
          <m:rPr>
            <m:sty m:val="p"/>
          </m:rPr>
          <m:t>=</m:t>
        </m:r>
        <m:r>
          <m:rPr>
            <m:sty m:val="p"/>
          </m:rPr>
          <m:t>−</m:t>
        </m:r>
        <m:r>
          <m:t>0.32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0.34</m:t>
        </m:r>
      </m:oMath>
      <w:r>
        <w:rPr>
          <w:rFonts w:ascii="Times New Roman" w:hAnsi="Times New Roman" w:cs="Times New Roman" w:eastAsia="Times New Roman"/>
          <w:sz w:val="24"/>
        </w:rPr>
        <w:t xml:space="preserve">) confirms a strong shading and katabatic-flow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 Single-feature Gini decomposition. Mountain alone reaches +9.24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(above the 5 pp red threshold); Coast + Mountain peaks at +14.29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Adding elevation as a third feature reduces the result to +11.26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an early dimensionality penalty. (e) UTCI, TSD, and HDH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three coast-distance bins. The coast-to-inland step is ~0.2 °C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 UTCI and ~150 °C·h in HDH, confirming a real but modest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relief signal.</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physically grounded evidence that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inequality is mediated by mesoscale processes (sea breeze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shading) rather than by neighborhood-scale building form.</w:t>
      </w:r>
    </w:p>
    <w:bookmarkEnd w:id="80"/>
    <w:bookmarkStart w:id="81" w:name="Xbaf85b5dd69c9c87201e7054dc3347b117ac663"/>
    <w:p>
      <w:pPr>
        <w:pStyle w:val="Heading2"/>
        <w:spacing w:line="480" w:lineRule="auto" w:before="360" w:after="180"/>
        <w:ind w:firstLine="0"/>
        <w:jc w:val="left"/>
      </w:pPr>
      <w:r>
        <w:rPr>
          <w:rFonts w:ascii="Times New Roman" w:hAnsi="Times New Roman" w:cs="Times New Roman" w:eastAsia="Times New Roman"/>
          <w:b/>
          <w:sz w:val="24"/>
        </w:rPr>
        <w:t xml:space="preserve">Figure 8. Geographic position breaks the 5 pp barrier (Phase 6).</w:t>
      </w:r>
    </w:p>
    <w:p>
      <w:pPr>
        <w:spacing w:line="480" w:lineRule="auto" w:before="0" w:after="0"/>
        <w:ind w:firstLine="0"/>
        <w:jc w:val="left"/>
      </w:pPr>
      <w:r>
        <w:rPr>
          <w:rFonts w:ascii="Times New Roman" w:hAnsi="Times New Roman" w:cs="Times New Roman" w:eastAsia="Times New Roman"/>
          <w:sz w:val="24"/>
        </w:rPr>
        <w:drawing>
          <wp:inline>
            <wp:extent cx="5943600" cy="3296976"/>
            <wp:docPr id="8" name="Picture 8"/>
            <wp:cNvGraphicFramePr>
              <a:graphicFrameLocks noChangeAspect="1"/>
            </wp:cNvGraphicFramePr>
            <a:graphic>
              <a:graphicData uri="http://schemas.openxmlformats.org/drawingml/2006/picture">
                <pic:pic>
                  <pic:nvPicPr>
                    <pic:cNvPr id="0" name="fig08_nonspatial_test.png"/>
                    <pic:cNvPicPr/>
                  </pic:nvPicPr>
                  <pic:blipFill>
                    <a:blip r:embed="rId16"/>
                    <a:stretch>
                      <a:fillRect/>
                    </a:stretch>
                  </pic:blipFill>
                  <pic:spPr>
                    <a:xfrm>
                      <a:off x="0" y="0"/>
                      <a:ext cx="5943600" cy="3296976"/>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Six clustering schemes A-F using UTCI-independent features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Within-class Gini reduction for each scheme. The dashed red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line marks the hypothesized 5 pp threshold. Schemes A-C (spatial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 8–13 features) and F (all 19 features combined) fall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below 1 pp. Scheme D (population, 3 features) reaches 4.31 pp.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Scheme E (geography, 3 features) reaches +10.81 pp</w:t>
      </w:r>
      <w:r>
        <w:rPr>
          <w:rFonts w:ascii="Times New Roman" w:hAnsi="Times New Roman" w:cs="Times New Roman" w:eastAsia="Times New Roman"/>
          <w:sz w:val="24"/>
        </w:rPr>
        <w:t xml:space="preserve">, exceeding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by a factor of two. (b) Reduction vs. number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features. More features do not equal more reduction; small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focused feature sets (D, E) outperform high-dimensional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 (c) Subcategory count per scheme. (d) Within-group Gini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LCZ-class vs subcategory grouping for each scheme. (e)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panel showing the breakthrough finding: geographic position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(coast/mountain distance) absorbs more within-class inequality than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 19 features combined—evidence of curse of dimensionality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geography’s role as the dominant non-geometric driver.</w:t>
      </w:r>
    </w:p>
    <w:bookmarkEnd w:id="81"/>
    <w:bookmarkStart w:id="82" w:name="X246fe46b938750b87fc3b09128260968f232e77"/>
    <w:p>
      <w:pPr>
        <w:pStyle w:val="Heading2"/>
        <w:spacing w:line="480" w:lineRule="auto" w:before="360" w:after="180"/>
        <w:ind w:firstLine="0"/>
        <w:jc w:val="left"/>
      </w:pPr>
      <w:r>
        <w:rPr>
          <w:rFonts w:ascii="Times New Roman" w:hAnsi="Times New Roman" w:cs="Times New Roman" w:eastAsia="Times New Roman"/>
          <w:b/>
          <w:sz w:val="24"/>
        </w:rPr>
        <w:t xml:space="preserve">Figure 7. Hybrid morphology + topology subcategorization fails to close the within-class Gini gap.</w:t>
      </w:r>
    </w:p>
    <w:p>
      <w:pPr>
        <w:spacing w:line="480" w:lineRule="auto" w:before="0" w:after="0"/>
        <w:ind w:firstLine="0"/>
        <w:jc w:val="left"/>
      </w:pPr>
      <w:r>
        <w:rPr>
          <w:rFonts w:ascii="Times New Roman" w:hAnsi="Times New Roman" w:cs="Times New Roman" w:eastAsia="Times New Roman"/>
          <w:sz w:val="24"/>
        </w:rPr>
        <w:drawing>
          <wp:inline>
            <wp:extent cx="5943600" cy="3352800"/>
            <wp:docPr id="7" name="Picture 7"/>
            <wp:cNvGraphicFramePr>
              <a:graphicFrameLocks noChangeAspect="1"/>
            </wp:cNvGraphicFramePr>
            <a:graphic>
              <a:graphicData uri="http://schemas.openxmlformats.org/drawingml/2006/picture">
                <pic:pic>
                  <pic:nvPicPr>
                    <pic:cNvPr id="0" name="fig07_hybrid_clustering.png"/>
                    <pic:cNvPicPr/>
                  </pic:nvPicPr>
                  <pic:blipFill>
                    <a:blip r:embed="rId15"/>
                    <a:stretch>
                      <a:fillRect/>
                    </a:stretch>
                  </pic:blipFill>
                  <pic:spPr>
                    <a:xfrm>
                      <a:off x="0" y="0"/>
                      <a:ext cx="5943600" cy="3352800"/>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Phase 5 controlled experiment with three k-means clustering schemes: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(UMPs only, 8 features), B (Topology only, 5 local geometric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as PH proxies), and C (UMPs + Topology, 13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Within-group Gini share for each scheme, comparing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(orange) and subcategory (green) groupings. All schemes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near-identical within-class share (85.0–85.9%). (b) Hypothesis test: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Gini reduction (pp). The dashed red line marks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hypothesized threshold of 5 pp. All three schemes fall far below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threshold, with the hybrid scheme (0.88 pp) actually slightly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worse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UMPs alone (1.02 pp). (c) Number of subcategories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generated by each scheme (39, 19, 32). (d) Per-LCZ Silhouette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quality—values exceed 0.5 for most classes, confirming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the lack of Gini reduction is not due to poor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 Between-group Gini share, with small complementary changes.</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the central empirical refutation of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hypothesis that topology can complement morphology to absorb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thermal inequality.</w:t>
      </w:r>
    </w:p>
    <w:bookmarkEnd w:id="82"/>
    <w:bookmarkStart w:id="83" w:name="Xb6253a62df8ca2a6f7cc97de6a63b9c8579a9b0"/>
    <w:p>
      <w:pPr>
        <w:pStyle w:val="Heading2"/>
        <w:spacing w:line="480" w:lineRule="auto" w:before="360" w:after="180"/>
        <w:ind w:firstLine="0"/>
        <w:jc w:val="left"/>
      </w:pPr>
      <w:r>
        <w:rPr>
          <w:rFonts w:ascii="Times New Roman" w:hAnsi="Times New Roman" w:cs="Times New Roman" w:eastAsia="Times New Roman"/>
          <w:b/>
          <w:sz w:val="24"/>
        </w:rPr>
        <w:t xml:space="preserve">Figure 6. Topological data analysis of the 100-m UTCI field.</w:t>
      </w:r>
    </w:p>
    <w:p>
      <w:pPr>
        <w:spacing w:line="480" w:lineRule="auto" w:before="0" w:after="0"/>
        <w:ind w:firstLine="0"/>
        <w:jc w:val="left"/>
      </w:pPr>
      <w:r>
        <w:rPr>
          <w:rFonts w:ascii="Times New Roman" w:hAnsi="Times New Roman" w:cs="Times New Roman" w:eastAsia="Times New Roman"/>
          <w:sz w:val="24"/>
        </w:rPr>
        <w:drawing>
          <wp:inline>
            <wp:extent cx="5943600" cy="3753853"/>
            <wp:docPr id="6" name="Picture 6"/>
            <wp:cNvGraphicFramePr>
              <a:graphicFrameLocks noChangeAspect="1"/>
            </wp:cNvGraphicFramePr>
            <a:graphic>
              <a:graphicData uri="http://schemas.openxmlformats.org/drawingml/2006/picture">
                <pic:pic>
                  <pic:nvPicPr>
                    <pic:cNvPr id="0" name="fig06_tda_analysis.png"/>
                    <pic:cNvPicPr/>
                  </pic:nvPicPr>
                  <pic:blipFill>
                    <a:blip r:embed="rId14"/>
                    <a:stretch>
                      <a:fillRect/>
                    </a:stretch>
                  </pic:blipFill>
                  <pic:spPr>
                    <a:xfrm>
                      <a:off x="0" y="0"/>
                      <a:ext cx="5943600" cy="3753853"/>
                    </a:xfrm>
                    <a:prstGeom prst="rect"/>
                  </pic:spPr>
                </pic:pic>
              </a:graphicData>
            </a:graphic>
          </wp:inline>
        </w:drawing>
      </w:r>
    </w:p>
    <w:p>
      <w:pPr>
        <w:pStyle w:val="Compact"/>
        <w:numPr>
          <w:ilvl w:val="0"/>
          <w:numId w:val="1023"/>
        </w:numPr>
        <w:spacing w:line="480" w:lineRule="auto" w:before="0" w:after="0"/>
        <w:ind w:firstLine="0"/>
        <w:jc w:val="left"/>
      </w:pPr>
      <w:r>
        <w:rPr>
          <w:rFonts w:ascii="Times New Roman" w:hAnsi="Times New Roman" w:cs="Times New Roman" w:eastAsia="Times New Roman"/>
          <w:sz w:val="24"/>
        </w:rPr>
        <w:t xml:space="preserve">Sublevel filtration of the city-wide UTCI field.</w:t>
      </w:r>
      <w:r>
        <w:rPr>
          <w:rFonts w:ascii="Times New Roman" w:hAnsi="Times New Roman" w:cs="Times New Roman" w:eastAsia="Times New Roman"/>
          <w:sz w:val="24"/>
        </w:rPr>
        <w:t xml:space="preserve"> </w:t>
      </w:r>
      <m:oMath>
        <m:sSub>
          <m:e>
            <m:r>
              <m:t>β</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(blue,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connected components) and</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 holes) both peak 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 31.08 °C—the topological transition point at which Shenzhen’s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island network is most fragmented. (b) City-wide persistence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diagram. The diagram shows 2,183</w:t>
      </w:r>
      <w:r>
        <w:rPr>
          <w:rFonts w:ascii="Times New Roman" w:hAnsi="Times New Roman" w:cs="Times New Roman" w:eastAsia="Times New Roman"/>
          <w:sz w:val="24"/>
        </w:rPr>
        <w:t xml:space="preserve"> </w:t>
      </w:r>
      <m:oMath>
        <m:sSub>
          <m:e>
            <m:r>
              <m:t>H</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2,575</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persistence entropy = 8.06. Off-diagonal points are robust topological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the diagonal corresponds to noise. (c) Persistence images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four representative LCZ classes (1, 4, 8, 9) at</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revealing distinct geometric signatures. (d) Topological feature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heatmap: nine built-up LCZ classes × five features (column-normalized).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6 (Open low-rise) stands out with the highest</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(297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entropy (6.91). (e) Pairwise</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Wasserstein-2 distances between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ranging from 1.55 to 21.76—a 14× dynamic range that far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exceeds the per-class mean UTCI spread of only 2.2 K.</w:t>
      </w:r>
    </w:p>
    <w:bookmarkEnd w:id="83"/>
    <w:bookmarkStart w:id="84" w:name="Xa7ae164fed1ddd2edc8fde9315d0d30691411b6"/>
    <w:p>
      <w:pPr>
        <w:pStyle w:val="Heading2"/>
        <w:spacing w:line="480" w:lineRule="auto" w:before="360" w:after="180"/>
        <w:ind w:firstLine="0"/>
        <w:jc w:val="left"/>
      </w:pPr>
      <w:r>
        <w:rPr>
          <w:rFonts w:ascii="Times New Roman" w:hAnsi="Times New Roman" w:cs="Times New Roman" w:eastAsia="Times New Roman"/>
          <w:b/>
          <w:sz w:val="24"/>
        </w:rPr>
        <w:t xml:space="preserve">Figure 5. Subcategorization fails to absorb within-class inequality (key result).</w:t>
      </w:r>
    </w:p>
    <w:p>
      <w:pPr>
        <w:spacing w:line="480" w:lineRule="auto" w:before="0" w:after="0"/>
        <w:ind w:firstLine="0"/>
        <w:jc w:val="left"/>
      </w:pPr>
      <w:r>
        <w:rPr>
          <w:rFonts w:ascii="Times New Roman" w:hAnsi="Times New Roman" w:cs="Times New Roman" w:eastAsia="Times New Roman"/>
          <w:sz w:val="24"/>
        </w:rPr>
        <w:drawing>
          <wp:inline>
            <wp:extent cx="5943600" cy="3947675"/>
            <wp:docPr id="5" name="Picture 5"/>
            <wp:cNvGraphicFramePr>
              <a:graphicFrameLocks noChangeAspect="1"/>
            </wp:cNvGraphicFramePr>
            <a:graphic>
              <a:graphicData uri="http://schemas.openxmlformats.org/drawingml/2006/picture">
                <pic:pic>
                  <pic:nvPicPr>
                    <pic:cNvPr id="0" name="fig05_subcategory_gini_test.png"/>
                    <pic:cNvPicPr/>
                  </pic:nvPicPr>
                  <pic:blipFill>
                    <a:blip r:embed="rId13"/>
                    <a:stretch>
                      <a:fillRect/>
                    </a:stretch>
                  </pic:blipFill>
                  <pic:spPr>
                    <a:xfrm>
                      <a:off x="0" y="0"/>
                      <a:ext cx="5943600" cy="3947675"/>
                    </a:xfrm>
                    <a:prstGeom prst="rect"/>
                  </pic:spPr>
                </pic:pic>
              </a:graphicData>
            </a:graphic>
          </wp:inline>
        </w:drawing>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Within-group Gini share by grouping level: LCZ class (9 groups,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orange) vs LCZ subcategory (39 groups, green). Across all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metrics (UTCI mean, TSD, HDH), the within-group share falls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1.0–1.1 percentage points despite a 4.3-fold increase in group count.</w:t>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Between-group Gini share, showing a small complementary increase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finer grouping. (c) Top 10 hottest subcategories ranked by 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HDH, dominated by LCZ 1 (Compact high-rise) variants. (d)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population vs mean HDH on a log x-scale, colored by parent LCZ class.</w:t>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Within-LCZ HDH spread (max minus min subcategory) per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3 (</w:t>
      </w:r>
      <m:oMath>
        <m:r>
          <m:rPr>
            <m:sty m:val="p"/>
          </m:rPr>
          <m:t>Δ</m:t>
        </m:r>
        <m:r>
          <m:rPr>
            <m:sty m:val="p"/>
          </m:rPr>
          <m:t>=</m:t>
        </m:r>
        <m:r>
          <m:t>481</m:t>
        </m:r>
      </m:oMath>
      <w:r>
        <w:rPr>
          <w:rFonts w:ascii="Times New Roman" w:hAnsi="Times New Roman" w:cs="Times New Roman" w:eastAsia="Times New Roman"/>
          <w:sz w:val="24"/>
        </w:rPr>
        <w:t xml:space="preserve">) and LCZ 10 (</w:t>
      </w:r>
      <m:oMath>
        <m:r>
          <m:rPr>
            <m:sty m:val="p"/>
          </m:rPr>
          <m:t>Δ</m:t>
        </m:r>
        <m:r>
          <m:rPr>
            <m:sty m:val="p"/>
          </m:rPr>
          <m:t>=</m:t>
        </m:r>
        <m:r>
          <m:t>348</m:t>
        </m:r>
      </m:oMath>
      <w:r>
        <w:rPr>
          <w:rFonts w:ascii="Times New Roman" w:hAnsi="Times New Roman" w:cs="Times New Roman" w:eastAsia="Times New Roman"/>
          <w:sz w:val="24"/>
        </w:rPr>
        <w:t xml:space="preserve">) carry the largest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hidden inequality, redirecting adaptation priorities away from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high-rise CBD.</w:t>
      </w:r>
    </w:p>
    <w:bookmarkEnd w:id="84"/>
    <w:bookmarkEnd w:id="85"/>
    <w:sectPr>
      <w:footerReference w:type="default" r:id="rId21"/>
      <w:footnotePr>
        <w:numRestart w:val="eachSect"/>
      </w:footnotePr>
      <w:pgMar w:top="1417" w:bottom="1417" w:left="1417" w:right="1417"/>
      <w:lnNumType w:countBy="1" w:start="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cs="Times New Roman" w:eastAsia="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ind w:firstLine="0"/>
    </w:pPr>
    <w:rPr>
      <w:rFonts w:ascii="Times New Roman" w:hAnsi="Times New Roman" w:cs="Times New Roman" w:eastAsia="Times New Roman"/>
      <w:sz w:val="24"/>
    </w:rPr>
  </w:style>
  <w:style w:styleId="BodyText" w:type="paragraph">
    <w:name w:val="Body Text"/>
    <w:basedOn w:val="Normal"/>
    <w:link w:val="BodyTextChar"/>
    <w:qFormat/>
    <w:pPr>
      <w:spacing w:after="0" w:before="0" w:line="480" w:lineRule="auto"/>
      <w:ind w:firstLine="0"/>
    </w:pPr>
    <w:rPr>
      <w:rFonts w:ascii="Times New Roman" w:hAnsi="Times New Roman" w:cs="Times New Roman" w:eastAsia="Times New Roman"/>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sz w:val="24"/>
    </w:rPr>
  </w:style>
  <w:style w:customStyle="1" w:styleId="Compact" w:type="paragraph">
    <w:name w:val="Compact"/>
    <w:basedOn w:val="BodyText"/>
    <w:qFormat/>
    <w:pPr>
      <w:spacing w:after="0" w:before="0" w:line="480" w:lineRule="auto"/>
      <w:ind w:firstLine="0"/>
    </w:pPr>
    <w:rPr>
      <w:rFonts w:ascii="Times New Roman" w:hAnsi="Times New Roman" w:cs="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480" w:lineRule="auto"/>
      <w:outlineLvl w:val="0"/>
    </w:pPr>
    <w:rPr>
      <w:rFonts w:asciiTheme="majorHAnsi" w:cstheme="majorBidi" w:eastAsiaTheme="majorEastAsia" w:hAnsiTheme="majorHAnsi" w:ascii="Times New Roman" w:hAnsi="Times New Roman" w:cs="Times New Roman" w:eastAsia="Times New Roman"/>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180" w:before="360" w:line="480" w:lineRule="auto"/>
      <w:outlineLvl w:val="1"/>
    </w:pPr>
    <w:rPr>
      <w:rFonts w:asciiTheme="majorHAnsi" w:cstheme="majorBidi" w:eastAsiaTheme="majorEastAsia" w:hAnsiTheme="majorHAnsi" w:ascii="Times New Roman" w:hAnsi="Times New Roman" w:cs="Times New Roman" w:eastAsia="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480" w:lineRule="auto"/>
      <w:outlineLvl w:val="2"/>
    </w:pPr>
    <w:rPr>
      <w:rFonts w:cstheme="majorBidi" w:eastAsiaTheme="majorEastAsia" w:ascii="Times New Roman" w:hAnsi="Times New Roman" w:cs="Times New Roman" w:eastAsia="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480" w:lineRule="auto"/>
      <w:outlineLvl w:val="3"/>
    </w:pPr>
    <w:rPr>
      <w:rFonts w:cstheme="majorBidi" w:eastAsiaTheme="majorEastAsia" w:ascii="Times New Roman" w:hAnsi="Times New Roman" w:cs="Times New Roman" w:eastAsia="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proxies are the most efficient indicators of within-LCZ heat exposure heterogeneity in the Greater Bay Area: an identification-aware Gini decomposition framework (WUDAPT-FUSE)</dc:title>
  <dc:creator>Yanhuo Luoa,*</dc:creator>
  <cp:keywords/>
  <dcterms:created xsi:type="dcterms:W3CDTF">2026-05-08T13:03:37Z</dcterms:created>
  <dcterms:modified xsi:type="dcterms:W3CDTF">2026-05-08T13:03:37Z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journal">
    <vt:lpwstr>Sustainable Cities and Society</vt:lpwstr>
  </property>
  <property fmtid="{D5CDD505-2E9C-101B-9397-08002B2CF9AE}" pid="4" name="manuscript_type">
    <vt:lpwstr>Original research article</vt:lpwstr>
  </property>
  <property fmtid="{D5CDD505-2E9C-101B-9397-08002B2CF9AE}" pid="5" name="running_title">
    <vt:lpwstr>Geographic proxies indicate within-LCZ heat heterogeneity</vt:lpwstr>
  </property>
</Properties>
</file>