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Lesson Observation Feedback</w:t>
      </w:r>
    </w:p>
    <w:p>
      <w:r>
        <w:t xml:space="preserve">Observed by </w:t>
      </w:r>
      <w:r>
        <w:rPr>
          <w:b/>
        </w:rPr>
        <w:t>J. Nguyen</w:t>
      </w:r>
      <w:r>
        <w:t xml:space="preserve"> on </w:t>
      </w:r>
      <w:r>
        <w:rPr>
          <w:i/>
        </w:rPr>
        <w:t>14 May</w:t>
      </w:r>
      <w:r>
        <w:t>. Year 7 Food Technology &amp; safety.</w:t>
      </w:r>
    </w:p>
    <w:p/>
    <w:p>
      <w:pPr>
        <w:pStyle w:val="Heading2"/>
      </w:pPr>
      <w:r>
        <w:t>Strengths</w:t>
      </w:r>
    </w:p>
    <w:p>
      <w:pPr>
        <w:numPr>
          <w:ilvl w:val="0"/>
          <w:numId w:val="1"/>
        </w:numPr>
      </w:pPr>
      <w:r>
        <w:t>Clear modelling before the practical.</w:t>
      </w:r>
    </w:p>
    <w:p>
      <w:pPr>
        <w:numPr>
          <w:ilvl w:val="0"/>
          <w:numId w:val="1"/>
        </w:numPr>
      </w:pPr>
      <w:r>
        <w:t>Checked understanding of the rubric.</w:t>
      </w:r>
    </w:p>
    <w:p>
      <w:pPr>
        <w:numPr>
          <w:ilvl w:val="1"/>
          <w:numId w:val="1"/>
        </w:numPr>
      </w:pPr>
      <w:r>
        <w:t>Nested point about wait time.</w:t>
      </w:r>
    </w:p>
    <w:p>
      <w:pPr>
        <w:pStyle w:val="Quote"/>
      </w:pPr>
      <w:r>
        <w:t>Students knew exactly what success looked like.</w:t>
      </w:r>
    </w:p>
    <w:p>
      <w:r>
        <w:t xml:space="preserve">See </w:t>
      </w:r>
      <w:hyperlink r:id="rId9">
        <w:r>
          <w:t>the VIT standards</w:t>
        </w:r>
      </w:hyperlink>
      <w:r>
        <w:t xml:space="preserve"> and a line break here:</w:t>
      </w:r>
      <w:r>
        <w:br/>
        <w:t>second line after break.</w:t>
      </w:r>
    </w:p>
    <w:tbl>
      <w:tr>
        <w:tc>
          <w:p>
            <w:r>
              <w:rPr>
                <w:b/>
              </w:rPr>
              <w:t>Focus</w:t>
            </w:r>
          </w:p>
        </w:tc>
        <w:tc>
          <w:p>
            <w:r>
              <w:rPr>
                <w:b/>
              </w:rPr>
              <w:t>Next step</w:t>
            </w:r>
          </w:p>
        </w:tc>
      </w:tr>
      <w:tr>
        <w:tc>
          <w:p>
            <w:r>
              <w:t>Questioning</w:t>
            </w:r>
          </w:p>
        </w:tc>
        <w:tc>
          <w:p>
            <w:r>
              <w:t>Extend wait time to five seconds</w:t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>Restate knife rules at the bench</w:t>
            </w:r>
          </w:p>
        </w:tc>
      </w:tr>
    </w:tbl>
    <w:p>
      <w:r>
        <w:drawing>
          <wp:inline>
            <wp:docPr id="1" name="Bench layout" descr="Bench layout photograph"/>
            <a:graphic>
              <a:graphicData>
                <pic:pic>
                  <pic:blipFill>
                    <a:blip r:embed="rId5"/>
                  </pic:blipFill>
                </pic:pic>
              </a:graphicData>
            </a:graphic>
          </wp:inline>
        </w:drawing>
      </w:r>
    </w:p>
    <w:p>
      <w:r>
        <w:t>Tab</w:t>
      </w:r>
      <w:r>
        <w:tab/>
        <w:t>after a tab, and </w:t>
      </w:r>
      <w:r>
        <w:rPr>
          <w:u w:val="single"/>
        </w:rPr>
        <w:t>underlined</w:t>
      </w:r>
      <w:r>
        <w:t xml:space="preserve"> plus </w:t>
      </w:r>
      <w:r>
        <w:rPr>
          <w:strike/>
        </w:rPr>
        <w:t>struck</w:t>
      </w:r>
      <w:r>
        <w:t xml:space="preserve"> and H</w:t>
      </w:r>
      <w:r>
        <w:rPr>
          <w:vertAlign w:val="subscript"/>
        </w:rPr>
        <w:t>2</w:t>
      </w:r>
      <w:r>
        <w:t>O.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Relationship Id="rId9" Type="http://schemas.openxmlformats.org/officeDocument/2006/relationships/hyperlink" Target="https://www.vit.vic.edu.au/" TargetMode="External"/>
</Relationships>
</file>