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383D9CA" w14:textId="0E92BDB3" w:rsidR="00710F55" w:rsidRPr="009600DE" w:rsidRDefault="00974F08" w:rsidP="007411CB">
      <w:pPr>
        <w:jc w:val="center"/>
        <w:rPr>
          <w:rFonts w:asciiTheme="majorBidi" w:hAnsiTheme="majorBidi" w:cstheme="majorBidi"/>
        </w:rPr>
        <w:sectPr w:rsidR="00710F55" w:rsidRPr="009600DE">
          <w:footerReference w:type="default" r:id="rId9"/>
          <w:footerReference w:type="first" r:id="rId10"/>
          <w:pgSz w:w="11906" w:h="16838"/>
          <w:pgMar w:top="1440" w:right="1440" w:bottom="1440" w:left="1440" w:header="708" w:footer="708" w:gutter="0"/>
          <w:cols w:space="708"/>
          <w:docGrid w:linePitch="360"/>
        </w:sectPr>
      </w:pPr>
      <w:r w:rsidRPr="009600DE">
        <w:rPr>
          <w:rFonts w:asciiTheme="majorBidi" w:hAnsiTheme="majorBidi" w:cstheme="majorBidi"/>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103EF479" w:rsidR="00424A66" w:rsidRPr="00652092" w:rsidRDefault="00F57A7D" w:rsidP="00710F55">
      <w:pPr>
        <w:jc w:val="center"/>
        <w:rPr>
          <w:rFonts w:asciiTheme="majorBidi" w:hAnsiTheme="majorBidi" w:cstheme="majorBidi"/>
          <w:color w:val="FFFFFF" w:themeColor="background1"/>
          <w:sz w:val="80"/>
          <w:szCs w:val="80"/>
        </w:rPr>
      </w:pPr>
      <w:r w:rsidRPr="00652092">
        <w:rPr>
          <w:rFonts w:asciiTheme="majorBidi" w:hAnsiTheme="majorBidi" w:cstheme="majorBidi"/>
          <w:color w:val="FFFFFF" w:themeColor="background1"/>
          <w:sz w:val="80"/>
          <w:szCs w:val="80"/>
        </w:rPr>
        <w:t>&lt;</w:t>
      </w:r>
      <w:r w:rsidR="002A636B" w:rsidRPr="00652092">
        <w:rPr>
          <w:rFonts w:asciiTheme="majorBidi" w:hAnsiTheme="majorBidi" w:cstheme="majorBidi"/>
          <w:sz w:val="80"/>
          <w:szCs w:val="80"/>
        </w:rPr>
        <w:t xml:space="preserve"> </w:t>
      </w:r>
      <w:r w:rsidR="002A636B" w:rsidRPr="00652092">
        <w:rPr>
          <w:rFonts w:asciiTheme="majorBidi" w:hAnsiTheme="majorBidi" w:cstheme="majorBidi"/>
          <w:color w:val="FFFFFF" w:themeColor="background1"/>
          <w:sz w:val="80"/>
          <w:szCs w:val="80"/>
        </w:rPr>
        <w:t xml:space="preserve">Real-time </w:t>
      </w:r>
      <w:r w:rsidR="009B7B54" w:rsidRPr="00652092">
        <w:rPr>
          <w:rFonts w:asciiTheme="majorBidi" w:hAnsiTheme="majorBidi" w:cstheme="majorBidi"/>
          <w:color w:val="FFFFFF" w:themeColor="background1"/>
          <w:sz w:val="80"/>
          <w:szCs w:val="80"/>
        </w:rPr>
        <w:t>integrated</w:t>
      </w:r>
      <w:r w:rsidR="002A636B" w:rsidRPr="00652092">
        <w:rPr>
          <w:rFonts w:asciiTheme="majorBidi" w:hAnsiTheme="majorBidi" w:cstheme="majorBidi"/>
          <w:color w:val="FFFFFF" w:themeColor="background1"/>
          <w:sz w:val="80"/>
          <w:szCs w:val="80"/>
        </w:rPr>
        <w:t xml:space="preserve"> Healthcare</w:t>
      </w:r>
      <w:r w:rsidR="00652092">
        <w:rPr>
          <w:rFonts w:asciiTheme="majorBidi" w:hAnsiTheme="majorBidi" w:cstheme="majorBidi"/>
          <w:color w:val="FFFFFF" w:themeColor="background1"/>
          <w:sz w:val="80"/>
          <w:szCs w:val="80"/>
        </w:rPr>
        <w:t xml:space="preserve"> management</w:t>
      </w:r>
      <w:r w:rsidR="002A636B" w:rsidRPr="00652092">
        <w:rPr>
          <w:rFonts w:asciiTheme="majorBidi" w:hAnsiTheme="majorBidi" w:cstheme="majorBidi"/>
          <w:color w:val="FFFFFF" w:themeColor="background1"/>
          <w:sz w:val="80"/>
          <w:szCs w:val="80"/>
        </w:rPr>
        <w:t xml:space="preserve"> </w:t>
      </w:r>
      <w:r w:rsidR="009B7B54" w:rsidRPr="00652092">
        <w:rPr>
          <w:rFonts w:asciiTheme="majorBidi" w:hAnsiTheme="majorBidi" w:cstheme="majorBidi"/>
          <w:color w:val="FFFFFF" w:themeColor="background1"/>
          <w:sz w:val="80"/>
          <w:szCs w:val="80"/>
        </w:rPr>
        <w:t>platform</w:t>
      </w:r>
      <w:r w:rsidRPr="00652092">
        <w:rPr>
          <w:rFonts w:asciiTheme="majorBidi" w:hAnsiTheme="majorBidi" w:cstheme="majorBidi"/>
          <w:color w:val="FFFFFF" w:themeColor="background1"/>
          <w:sz w:val="80"/>
          <w:szCs w:val="80"/>
        </w:rPr>
        <w:t>&gt;</w:t>
      </w:r>
    </w:p>
    <w:p w14:paraId="5EF304F9" w14:textId="77777777" w:rsidR="00F91005" w:rsidRPr="009600DE" w:rsidRDefault="00F91005" w:rsidP="00710F55">
      <w:pPr>
        <w:jc w:val="center"/>
        <w:rPr>
          <w:rFonts w:asciiTheme="majorBidi" w:hAnsiTheme="majorBidi" w:cstheme="majorBidi"/>
          <w:color w:val="FFFFFF" w:themeColor="background1"/>
          <w:sz w:val="80"/>
          <w:szCs w:val="80"/>
        </w:rPr>
      </w:pPr>
    </w:p>
    <w:p w14:paraId="1DBBA1E4" w14:textId="4E8215DC" w:rsidR="00F57A7D" w:rsidRPr="009600DE" w:rsidRDefault="00F57A7D" w:rsidP="00710F55">
      <w:pPr>
        <w:jc w:val="center"/>
        <w:rPr>
          <w:rFonts w:asciiTheme="majorBidi" w:hAnsiTheme="majorBidi" w:cstheme="majorBidi"/>
          <w:color w:val="FFFFFF" w:themeColor="background1"/>
          <w:sz w:val="72"/>
          <w:szCs w:val="72"/>
          <w:lang w:val="en-US"/>
        </w:rPr>
      </w:pPr>
      <w:r w:rsidRPr="009600DE">
        <w:rPr>
          <w:rFonts w:asciiTheme="majorBidi" w:hAnsiTheme="majorBidi" w:cstheme="majorBidi"/>
          <w:color w:val="FFFFFF" w:themeColor="background1"/>
          <w:sz w:val="72"/>
          <w:szCs w:val="72"/>
          <w:lang w:val="en-US"/>
        </w:rPr>
        <w:t>&lt;</w:t>
      </w:r>
      <w:r w:rsidR="002A636B" w:rsidRPr="009600DE">
        <w:rPr>
          <w:rFonts w:asciiTheme="majorBidi" w:hAnsiTheme="majorBidi" w:cstheme="majorBidi"/>
          <w:color w:val="FFFFFF" w:themeColor="background1"/>
          <w:sz w:val="72"/>
          <w:szCs w:val="72"/>
          <w:lang w:val="en-US"/>
        </w:rPr>
        <w:t>Seif Mansour</w:t>
      </w:r>
      <w:r w:rsidRPr="009600DE">
        <w:rPr>
          <w:rFonts w:asciiTheme="majorBidi" w:hAnsiTheme="majorBidi" w:cstheme="majorBidi"/>
          <w:color w:val="FFFFFF" w:themeColor="background1"/>
          <w:sz w:val="72"/>
          <w:szCs w:val="72"/>
          <w:lang w:val="en-US"/>
        </w:rPr>
        <w:t>&gt;</w:t>
      </w:r>
    </w:p>
    <w:p w14:paraId="1927150F" w14:textId="213B2E2E" w:rsidR="00F57A7D" w:rsidRPr="009600DE" w:rsidRDefault="00F57A7D" w:rsidP="00710F55">
      <w:pPr>
        <w:jc w:val="center"/>
        <w:rPr>
          <w:rFonts w:asciiTheme="majorBidi" w:hAnsiTheme="majorBidi" w:cstheme="majorBidi"/>
          <w:color w:val="FFFFFF" w:themeColor="background1"/>
          <w:sz w:val="72"/>
          <w:szCs w:val="72"/>
          <w:lang w:val="en-US"/>
        </w:rPr>
      </w:pPr>
      <w:r w:rsidRPr="009600DE">
        <w:rPr>
          <w:rFonts w:asciiTheme="majorBidi" w:hAnsiTheme="majorBidi" w:cstheme="majorBidi"/>
          <w:color w:val="FFFFFF" w:themeColor="background1"/>
          <w:sz w:val="72"/>
          <w:szCs w:val="72"/>
          <w:lang w:val="en-US"/>
        </w:rPr>
        <w:t>&lt;</w:t>
      </w:r>
      <w:r w:rsidR="00AF0CC1" w:rsidRPr="009600DE">
        <w:rPr>
          <w:rFonts w:asciiTheme="majorBidi" w:hAnsiTheme="majorBidi" w:cstheme="majorBidi"/>
          <w:color w:val="FFFFFF" w:themeColor="background1"/>
          <w:sz w:val="72"/>
          <w:szCs w:val="72"/>
          <w:lang w:val="en-US"/>
        </w:rPr>
        <w:t>23012749</w:t>
      </w:r>
      <w:r w:rsidR="0094747D" w:rsidRPr="009600DE">
        <w:rPr>
          <w:rFonts w:asciiTheme="majorBidi" w:hAnsiTheme="majorBidi" w:cstheme="majorBidi"/>
          <w:color w:val="FFFFFF" w:themeColor="background1"/>
          <w:sz w:val="72"/>
          <w:szCs w:val="72"/>
          <w:lang w:val="en-US"/>
        </w:rPr>
        <w:t>&gt;</w:t>
      </w:r>
    </w:p>
    <w:p w14:paraId="18A9999A" w14:textId="3D7678BF" w:rsidR="00F57A7D" w:rsidRPr="009600DE" w:rsidRDefault="00F57A7D" w:rsidP="00652092">
      <w:pPr>
        <w:rPr>
          <w:rFonts w:asciiTheme="majorBidi" w:hAnsiTheme="majorBidi" w:cstheme="majorBidi"/>
          <w:color w:val="FFFFFF" w:themeColor="background1"/>
          <w:sz w:val="80"/>
          <w:szCs w:val="80"/>
          <w:lang w:val="en-US"/>
        </w:rPr>
      </w:pPr>
    </w:p>
    <w:p w14:paraId="0502FC06" w14:textId="77777777" w:rsidR="00F57A7D" w:rsidRPr="009600DE" w:rsidRDefault="00F57A7D" w:rsidP="00710F55">
      <w:pPr>
        <w:jc w:val="center"/>
        <w:rPr>
          <w:rFonts w:asciiTheme="majorBidi" w:hAnsiTheme="majorBidi" w:cstheme="majorBidi"/>
          <w:color w:val="FFFFFF" w:themeColor="background1"/>
          <w:sz w:val="80"/>
          <w:szCs w:val="80"/>
          <w:lang w:val="en-US"/>
        </w:rPr>
      </w:pPr>
    </w:p>
    <w:p w14:paraId="1C6BBAE3" w14:textId="77777777" w:rsidR="00710F55" w:rsidRPr="009600DE" w:rsidRDefault="00130C2A" w:rsidP="00710F55">
      <w:pPr>
        <w:jc w:val="center"/>
        <w:rPr>
          <w:rFonts w:asciiTheme="majorBidi" w:hAnsiTheme="majorBidi" w:cstheme="majorBidi"/>
          <w:color w:val="FFFFFF" w:themeColor="background1"/>
          <w:sz w:val="56"/>
          <w:szCs w:val="56"/>
          <w:lang w:val="en-US"/>
        </w:rPr>
      </w:pPr>
      <w:r w:rsidRPr="009600DE">
        <w:rPr>
          <w:rFonts w:asciiTheme="majorBidi" w:hAnsiTheme="majorBidi" w:cstheme="majorBidi"/>
          <w:color w:val="FFFFFF" w:themeColor="background1"/>
          <w:sz w:val="56"/>
          <w:szCs w:val="56"/>
          <w:lang w:val="en-US"/>
        </w:rPr>
        <w:t>UXCFXK-30-3</w:t>
      </w:r>
    </w:p>
    <w:p w14:paraId="69B09C5E" w14:textId="06E342D1" w:rsidR="00710F55" w:rsidRPr="009600DE" w:rsidRDefault="00F91005" w:rsidP="00C20745">
      <w:pPr>
        <w:jc w:val="center"/>
        <w:rPr>
          <w:rFonts w:asciiTheme="majorBidi" w:hAnsiTheme="majorBidi" w:cstheme="majorBidi"/>
          <w:color w:val="FFFFFF" w:themeColor="background1"/>
          <w:sz w:val="16"/>
          <w:szCs w:val="16"/>
        </w:rPr>
      </w:pPr>
      <w:r w:rsidRPr="009600DE">
        <w:rPr>
          <w:rFonts w:asciiTheme="majorBidi" w:hAnsiTheme="majorBidi" w:cstheme="majorBidi"/>
          <w:color w:val="FFFFFF" w:themeColor="background1"/>
          <w:sz w:val="56"/>
          <w:szCs w:val="56"/>
        </w:rPr>
        <w:t>Digital Systems Project</w:t>
      </w:r>
    </w:p>
    <w:p w14:paraId="41533B28" w14:textId="3C28780C" w:rsidR="00510447" w:rsidRPr="009600DE" w:rsidRDefault="00F57A7D" w:rsidP="00F57A7D">
      <w:pPr>
        <w:rPr>
          <w:rFonts w:asciiTheme="majorBidi" w:hAnsiTheme="majorBidi" w:cstheme="majorBidi"/>
        </w:rPr>
      </w:pPr>
      <w:r w:rsidRPr="009600DE">
        <w:rPr>
          <w:rFonts w:asciiTheme="majorBidi" w:hAnsiTheme="majorBidi" w:cstheme="majorBidi"/>
        </w:rPr>
        <w:br w:type="textWrapping" w:clear="all"/>
      </w:r>
    </w:p>
    <w:p w14:paraId="7E7D66B7" w14:textId="77924A1C" w:rsidR="00510447" w:rsidRPr="009600DE" w:rsidRDefault="00652092">
      <w:pPr>
        <w:rPr>
          <w:rFonts w:asciiTheme="majorBidi" w:hAnsiTheme="majorBidi" w:cstheme="majorBidi"/>
        </w:rPr>
      </w:pPr>
      <w:r w:rsidRPr="009600DE">
        <w:rPr>
          <w:rFonts w:asciiTheme="majorBidi" w:hAnsiTheme="majorBidi" w:cstheme="majorBidi"/>
          <w:noProof/>
        </w:rPr>
        <w:drawing>
          <wp:anchor distT="0" distB="0" distL="114300" distR="114300" simplePos="0" relativeHeight="251660288" behindDoc="0" locked="0" layoutInCell="1" allowOverlap="1" wp14:anchorId="37EB904D" wp14:editId="6989AA3B">
            <wp:simplePos x="0" y="0"/>
            <wp:positionH relativeFrom="margin">
              <wp:posOffset>1731645</wp:posOffset>
            </wp:positionH>
            <wp:positionV relativeFrom="margin">
              <wp:posOffset>7776845</wp:posOffset>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510447" w:rsidRPr="009600DE">
        <w:rPr>
          <w:rFonts w:asciiTheme="majorBidi" w:hAnsiTheme="majorBidi" w:cstheme="majorBidi"/>
        </w:rPr>
        <w:br w:type="page"/>
      </w:r>
    </w:p>
    <w:p w14:paraId="5D0A7A6E" w14:textId="77777777" w:rsidR="0098350F" w:rsidRDefault="0098350F" w:rsidP="0098350F">
      <w:pPr>
        <w:pStyle w:val="Heading1"/>
        <w:rPr>
          <w:rFonts w:asciiTheme="majorBidi" w:hAnsiTheme="majorBidi" w:cstheme="majorBidi"/>
        </w:rPr>
      </w:pPr>
      <w:r w:rsidRPr="009600DE">
        <w:rPr>
          <w:rFonts w:asciiTheme="majorBidi" w:hAnsiTheme="majorBidi" w:cstheme="majorBidi"/>
        </w:rPr>
        <w:lastRenderedPageBreak/>
        <w:t>Chapter 1 (Introduction):</w:t>
      </w:r>
    </w:p>
    <w:p w14:paraId="7607C1DF" w14:textId="77777777" w:rsidR="0098350F" w:rsidRPr="009600DE" w:rsidRDefault="0098350F" w:rsidP="00582A19">
      <w:pPr>
        <w:pStyle w:val="Heading2"/>
      </w:pPr>
      <w:r w:rsidRPr="009600DE">
        <w:t>What is the real-world problem?</w:t>
      </w:r>
    </w:p>
    <w:p w14:paraId="3B7368F7" w14:textId="77777777" w:rsidR="005D11CC" w:rsidRDefault="005D11CC" w:rsidP="00756C5C">
      <w:pPr>
        <w:spacing w:before="100" w:beforeAutospacing="1" w:after="100" w:afterAutospacing="1" w:line="240" w:lineRule="auto"/>
        <w:rPr>
          <w:rFonts w:asciiTheme="majorBidi" w:hAnsiTheme="majorBidi" w:cstheme="majorBidi"/>
          <w:sz w:val="24"/>
          <w:szCs w:val="24"/>
        </w:rPr>
      </w:pPr>
      <w:r w:rsidRPr="005D11CC">
        <w:rPr>
          <w:rFonts w:asciiTheme="majorBidi" w:hAnsiTheme="majorBidi" w:cstheme="majorBidi"/>
          <w:sz w:val="24"/>
          <w:szCs w:val="24"/>
        </w:rPr>
        <w:t xml:space="preserve">In modern healthcare, effective communication and efficient management of personal health information are vital for improving patient outcomes, particularly for individuals managing chronic conditions. However, many patients struggle with challenges such as tracking their medications, remembering dosage schedules, and providing timely updates to their healthcare providers. These difficulties contribute significantly to medication non-adherence, a critical issue that leads to worsening health conditions, increased hospital admissions, and rising healthcare costs. Studies indicate that non-adherence rates can exceed 50% for chronic medications, emphasizing the need for innovative tools that promote consistent adherence to treatment plans (BMJ Open, 2018). </w:t>
      </w:r>
    </w:p>
    <w:p w14:paraId="602889BE" w14:textId="77777777" w:rsidR="005D11CC" w:rsidRDefault="005D11CC" w:rsidP="00756C5C">
      <w:pPr>
        <w:spacing w:before="100" w:beforeAutospacing="1" w:after="100" w:afterAutospacing="1" w:line="240" w:lineRule="auto"/>
        <w:rPr>
          <w:rFonts w:asciiTheme="majorBidi" w:hAnsiTheme="majorBidi" w:cstheme="majorBidi"/>
          <w:sz w:val="24"/>
          <w:szCs w:val="24"/>
        </w:rPr>
      </w:pPr>
      <w:r w:rsidRPr="005D11CC">
        <w:rPr>
          <w:rFonts w:asciiTheme="majorBidi" w:hAnsiTheme="majorBidi" w:cstheme="majorBidi"/>
          <w:sz w:val="24"/>
          <w:szCs w:val="24"/>
        </w:rPr>
        <w:t>Beyond medication management, scheduling appointments and maintaining a comprehensive record of health interactions remain complex and burdensome for patients. Many existing healthcare systems lack centralized platforms where patients can view, update, and share their health data with healthcare providers in real-time. This gap may arise due to constraints like the cost of implementation and ensuring adequate security for sensitive health information. The absence of such systems burden patients and limits healthcare providers’ ability to monitor adherence effectively and adjust treatment plans as needed.</w:t>
      </w:r>
    </w:p>
    <w:p w14:paraId="41D87035" w14:textId="0E3932EA" w:rsidR="005D11CC" w:rsidRPr="005D11CC" w:rsidRDefault="005D11CC" w:rsidP="00756C5C">
      <w:pPr>
        <w:spacing w:before="100" w:beforeAutospacing="1" w:after="100" w:afterAutospacing="1" w:line="240" w:lineRule="auto"/>
        <w:rPr>
          <w:rFonts w:asciiTheme="majorBidi" w:hAnsiTheme="majorBidi" w:cstheme="majorBidi"/>
          <w:sz w:val="24"/>
          <w:szCs w:val="24"/>
        </w:rPr>
      </w:pPr>
      <w:r w:rsidRPr="005D11CC">
        <w:rPr>
          <w:rFonts w:asciiTheme="majorBidi" w:hAnsiTheme="majorBidi" w:cstheme="majorBidi"/>
          <w:sz w:val="24"/>
          <w:szCs w:val="24"/>
        </w:rPr>
        <w:t>To address these challenges, this project proposes the development of a comprehensive web application that integrates key healthcare management functionalities. The application will allow patients to track their medication schedules, document adherence, and book appointments seamlessly, all within a single, user-friendly system. While front-end usability is an essential focus, this project also recognizes the complexities of backend development, including secure data management, integration with existing healthcare systems, and compliance with privacy standards. By addressing these technical challenges, the platform aims to empower patients to take an active role in their health management while providing healthcare providers with real-time access to accurate, actionable data. This collaborative approach has the potential to enhance adherence, improve health outcomes, and reduce the administrative burden on both patients and providers.</w:t>
      </w:r>
    </w:p>
    <w:p w14:paraId="30C9B2D4" w14:textId="77777777" w:rsidR="00A115D3" w:rsidRDefault="00A115D3" w:rsidP="00A115D3">
      <w:pPr>
        <w:spacing w:before="100" w:beforeAutospacing="1" w:after="100" w:afterAutospacing="1" w:line="240" w:lineRule="auto"/>
        <w:rPr>
          <w:rFonts w:asciiTheme="majorBidi" w:hAnsiTheme="majorBidi" w:cstheme="majorBidi"/>
          <w:b/>
          <w:bCs/>
          <w:color w:val="1A9DAC"/>
          <w:sz w:val="36"/>
          <w:szCs w:val="36"/>
          <w:lang w:eastAsia="en-GB"/>
        </w:rPr>
      </w:pPr>
      <w:r w:rsidRPr="00A115D3">
        <w:rPr>
          <w:rFonts w:asciiTheme="majorBidi" w:hAnsiTheme="majorBidi" w:cstheme="majorBidi"/>
          <w:b/>
          <w:bCs/>
          <w:color w:val="1A9DAC"/>
          <w:sz w:val="36"/>
          <w:szCs w:val="36"/>
          <w:lang w:eastAsia="en-GB"/>
        </w:rPr>
        <w:t>Why is it important?</w:t>
      </w:r>
    </w:p>
    <w:p w14:paraId="273F56EC" w14:textId="264E9C2A" w:rsidR="00756C5C" w:rsidRPr="00756C5C" w:rsidRDefault="00756C5C" w:rsidP="00A115D3">
      <w:pPr>
        <w:spacing w:before="100" w:beforeAutospacing="1" w:after="100" w:afterAutospacing="1" w:line="240" w:lineRule="auto"/>
        <w:rPr>
          <w:rFonts w:asciiTheme="majorBidi" w:hAnsiTheme="majorBidi" w:cstheme="majorBidi"/>
          <w:b/>
          <w:bCs/>
          <w:color w:val="1A9DAC"/>
          <w:sz w:val="36"/>
          <w:szCs w:val="36"/>
          <w:lang w:val="en-US" w:eastAsia="en-GB"/>
        </w:rPr>
      </w:pPr>
      <w:r w:rsidRPr="00756C5C">
        <w:rPr>
          <w:rFonts w:ascii="Times New Roman" w:eastAsia="Times New Roman" w:hAnsi="Times New Roman" w:cs="Times New Roman"/>
          <w:sz w:val="24"/>
          <w:szCs w:val="24"/>
          <w:lang w:val="en-US"/>
        </w:rPr>
        <w:t xml:space="preserve">The importance of developing a unified healthcare management platform cannot be overstated, particularly in today’s digital age where accurate and timely access to health information is essential. Non-adherence to prescribed medications is a leading cause of treatment failure, particularly for chronic illnesses such as hypertension, diabetes, and cardiovascular disease. Patients who fail to adhere to their treatment plans risk significant health complications, preventable </w:t>
      </w:r>
      <w:r w:rsidR="005D11CC" w:rsidRPr="00756C5C">
        <w:rPr>
          <w:rFonts w:ascii="Times New Roman" w:eastAsia="Times New Roman" w:hAnsi="Times New Roman" w:cs="Times New Roman"/>
          <w:sz w:val="24"/>
          <w:szCs w:val="24"/>
          <w:lang w:val="en-US"/>
        </w:rPr>
        <w:t>hospitalization</w:t>
      </w:r>
      <w:r w:rsidRPr="00756C5C">
        <w:rPr>
          <w:rFonts w:ascii="Times New Roman" w:eastAsia="Times New Roman" w:hAnsi="Times New Roman" w:cs="Times New Roman"/>
          <w:sz w:val="24"/>
          <w:szCs w:val="24"/>
          <w:lang w:val="en-US"/>
        </w:rPr>
        <w:t>, and even mortality. A centralized platform that integrates features such as medication tracking, appointment scheduling, and real-time communication with healthcare providers can directly address these issues, improving patient adherence and health outcomes.</w:t>
      </w:r>
    </w:p>
    <w:p w14:paraId="10DDF57C" w14:textId="6E145AC2" w:rsidR="00205046" w:rsidRPr="005D11CC" w:rsidRDefault="00756C5C" w:rsidP="005D11CC">
      <w:pPr>
        <w:spacing w:before="100" w:beforeAutospacing="1" w:after="100" w:afterAutospacing="1" w:line="240" w:lineRule="auto"/>
        <w:rPr>
          <w:rStyle w:val="Heading2Char"/>
          <w:rFonts w:ascii="Times New Roman" w:eastAsiaTheme="minorHAnsi" w:hAnsi="Times New Roman" w:cs="Times New Roman"/>
          <w:b w:val="0"/>
          <w:bCs w:val="0"/>
          <w:color w:val="auto"/>
          <w:sz w:val="24"/>
          <w:szCs w:val="24"/>
          <w:lang w:val="en-US" w:eastAsia="en-US"/>
        </w:rPr>
      </w:pPr>
      <w:r w:rsidRPr="00756C5C">
        <w:rPr>
          <w:rFonts w:ascii="Times New Roman" w:eastAsia="Times New Roman" w:hAnsi="Times New Roman" w:cs="Times New Roman"/>
          <w:sz w:val="24"/>
          <w:szCs w:val="24"/>
          <w:lang w:val="en-US"/>
        </w:rPr>
        <w:t xml:space="preserve">Moreover, the healthcare industry is shifting towards patient-centered care, emphasizing active patient participation in health management. The proposed platform </w:t>
      </w:r>
      <w:r w:rsidR="005D11CC" w:rsidRPr="00756C5C">
        <w:rPr>
          <w:rFonts w:ascii="Times New Roman" w:eastAsia="Times New Roman" w:hAnsi="Times New Roman" w:cs="Times New Roman"/>
          <w:sz w:val="24"/>
          <w:szCs w:val="24"/>
          <w:lang w:val="en-US"/>
        </w:rPr>
        <w:t>aligns</w:t>
      </w:r>
      <w:r w:rsidRPr="00756C5C">
        <w:rPr>
          <w:rFonts w:ascii="Times New Roman" w:eastAsia="Times New Roman" w:hAnsi="Times New Roman" w:cs="Times New Roman"/>
          <w:sz w:val="24"/>
          <w:szCs w:val="24"/>
          <w:lang w:val="en-US"/>
        </w:rPr>
        <w:t xml:space="preserve"> this </w:t>
      </w:r>
      <w:r w:rsidRPr="00756C5C">
        <w:rPr>
          <w:rFonts w:ascii="Times New Roman" w:eastAsia="Times New Roman" w:hAnsi="Times New Roman" w:cs="Times New Roman"/>
          <w:sz w:val="24"/>
          <w:szCs w:val="24"/>
          <w:lang w:val="en-US"/>
        </w:rPr>
        <w:lastRenderedPageBreak/>
        <w:t>approach by simplifying how patients engage with their healthcare providers and manage their treatment plans. Additionally, the platform’s real-time data-sharing capabilities will enable healthcare providers to monitor patient adherence more effectively, make informed treatment decisions, and reduce the likelihood of errors stemming from incomplete or inaccurate medical records.</w:t>
      </w:r>
    </w:p>
    <w:p w14:paraId="4132D7E9" w14:textId="661FE4C1" w:rsidR="00756C5C" w:rsidRDefault="00756C5C" w:rsidP="00756C5C">
      <w:pPr>
        <w:pStyle w:val="Heading2"/>
        <w:rPr>
          <w:lang w:val="en-US"/>
        </w:rPr>
      </w:pPr>
      <w:r w:rsidRPr="00756C5C">
        <w:rPr>
          <w:lang w:val="en-US"/>
        </w:rPr>
        <w:t>Aims and Goals</w:t>
      </w:r>
      <w:r w:rsidR="00205046">
        <w:rPr>
          <w:lang w:val="en-US"/>
        </w:rPr>
        <w:t>:</w:t>
      </w:r>
    </w:p>
    <w:p w14:paraId="4378F82B" w14:textId="5401DA48" w:rsidR="00756C5C" w:rsidRPr="00756C5C" w:rsidRDefault="00756C5C" w:rsidP="00756C5C">
      <w:p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This project aims to:</w:t>
      </w:r>
    </w:p>
    <w:p w14:paraId="12D561D1"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Develop a secure, user-friendly digital platform that empowers patients to manage their health information and actively engage in their healthcare journey.</w:t>
      </w:r>
    </w:p>
    <w:p w14:paraId="1F163A63"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Allow users to securely manage their personal details, track medication adherence, and share health information with providers.</w:t>
      </w:r>
    </w:p>
    <w:p w14:paraId="32CAA8EE"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Enhance communication between patients and healthcare providers by offering real-time access to essential health data.</w:t>
      </w:r>
    </w:p>
    <w:p w14:paraId="23BF7872"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Simplify appointment scheduling, enabling patients to arrange consultations and maintain consistent follow-ups with ease.</w:t>
      </w:r>
    </w:p>
    <w:p w14:paraId="037C79EB"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Promote a patient-centered approach to healthcare by addressing gaps in medication management and doctor-patient communication.</w:t>
      </w:r>
    </w:p>
    <w:p w14:paraId="595DF14E"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Prioritize security, usability, and data privacy to effectively meet the needs of both patients and providers.</w:t>
      </w:r>
    </w:p>
    <w:p w14:paraId="75EA4B6D" w14:textId="77777777" w:rsidR="005D11CC" w:rsidRDefault="005D11CC" w:rsidP="00205046">
      <w:pPr>
        <w:spacing w:before="100" w:beforeAutospacing="1" w:after="100" w:afterAutospacing="1" w:line="240" w:lineRule="auto"/>
        <w:rPr>
          <w:rStyle w:val="Heading2Char"/>
          <w:rFonts w:eastAsiaTheme="minorHAnsi"/>
          <w:lang w:val="en-US"/>
        </w:rPr>
      </w:pPr>
    </w:p>
    <w:p w14:paraId="4C20AEC0" w14:textId="77777777" w:rsidR="00A115D3" w:rsidRDefault="00A115D3" w:rsidP="00A115D3">
      <w:pPr>
        <w:spacing w:before="100" w:beforeAutospacing="1" w:after="100" w:afterAutospacing="1" w:line="240" w:lineRule="auto"/>
        <w:rPr>
          <w:rStyle w:val="Heading2Char"/>
          <w:rFonts w:eastAsiaTheme="minorHAnsi"/>
          <w:lang w:val="en-US"/>
        </w:rPr>
      </w:pPr>
      <w:r w:rsidRPr="00756C5C">
        <w:rPr>
          <w:rStyle w:val="Heading2Char"/>
          <w:rFonts w:eastAsiaTheme="minorHAnsi"/>
          <w:lang w:val="en-US"/>
        </w:rPr>
        <w:t>Literature Review Findings</w:t>
      </w:r>
      <w:r>
        <w:rPr>
          <w:rStyle w:val="Heading2Char"/>
          <w:rFonts w:eastAsiaTheme="minorHAnsi"/>
          <w:lang w:val="en-US"/>
        </w:rPr>
        <w:t>:</w:t>
      </w:r>
    </w:p>
    <w:p w14:paraId="38706D5F" w14:textId="2D757E98" w:rsidR="00A115D3" w:rsidRPr="00A115D3" w:rsidRDefault="00A115D3" w:rsidP="00A115D3">
      <w:pPr>
        <w:spacing w:before="100" w:beforeAutospacing="1" w:after="100" w:afterAutospacing="1" w:line="240" w:lineRule="auto"/>
        <w:rPr>
          <w:rStyle w:val="Heading2Char"/>
          <w:rFonts w:ascii="Times New Roman" w:eastAsiaTheme="minorHAnsi" w:hAnsi="Times New Roman" w:cs="Times New Roman"/>
          <w:b w:val="0"/>
          <w:bCs w:val="0"/>
          <w:color w:val="auto"/>
          <w:sz w:val="24"/>
          <w:szCs w:val="24"/>
          <w:lang w:val="en-US" w:eastAsia="en-US"/>
        </w:rPr>
      </w:pPr>
      <w:r w:rsidRPr="00756C5C">
        <w:rPr>
          <w:rFonts w:ascii="Times New Roman" w:eastAsia="Times New Roman" w:hAnsi="Times New Roman" w:cs="Times New Roman"/>
          <w:sz w:val="24"/>
          <w:szCs w:val="24"/>
          <w:lang w:val="en-US"/>
        </w:rPr>
        <w:t>The literature review identified several critical gaps in existing healthcare platforms, including fragmented functionality, non-intuitive designs, and inadequate data security measures. These limitations hinder the adoption of digital health tools and prevent healthcare systems from delivering holistic, patient-centered care. Addressing these gaps requires a solution that integrates multiple functionalities into a single, secure, and user-friendly platform.</w:t>
      </w:r>
    </w:p>
    <w:p w14:paraId="02AB1908" w14:textId="7268C592" w:rsidR="00205046" w:rsidRDefault="00756C5C" w:rsidP="00205046">
      <w:pPr>
        <w:spacing w:before="100" w:beforeAutospacing="1" w:after="100" w:afterAutospacing="1" w:line="240" w:lineRule="auto"/>
        <w:rPr>
          <w:rStyle w:val="Heading2Char"/>
          <w:rFonts w:eastAsiaTheme="minorHAnsi"/>
          <w:lang w:val="en-US"/>
        </w:rPr>
      </w:pPr>
      <w:r w:rsidRPr="00756C5C">
        <w:rPr>
          <w:rStyle w:val="Heading2Char"/>
          <w:rFonts w:eastAsiaTheme="minorHAnsi"/>
          <w:lang w:val="en-US"/>
        </w:rPr>
        <w:t>Expected Outcomes</w:t>
      </w:r>
      <w:r w:rsidR="00205046">
        <w:rPr>
          <w:rStyle w:val="Heading2Char"/>
          <w:rFonts w:eastAsiaTheme="minorHAnsi"/>
          <w:lang w:val="en-US"/>
        </w:rPr>
        <w:t>:</w:t>
      </w:r>
    </w:p>
    <w:p w14:paraId="178F6C87" w14:textId="77777777" w:rsidR="005D11CC" w:rsidRDefault="00756C5C" w:rsidP="005D11CC">
      <w:pPr>
        <w:spacing w:before="100" w:beforeAutospacing="1" w:after="100" w:afterAutospacing="1" w:line="240" w:lineRule="auto"/>
        <w:rPr>
          <w:rFonts w:asciiTheme="majorBidi" w:hAnsiTheme="majorBidi" w:cstheme="majorBidi"/>
          <w:b/>
          <w:bCs/>
          <w:color w:val="1A9DAC"/>
          <w:sz w:val="36"/>
          <w:szCs w:val="36"/>
          <w:lang w:val="en-US" w:eastAsia="en-GB"/>
        </w:rPr>
      </w:pPr>
      <w:r w:rsidRPr="00756C5C">
        <w:rPr>
          <w:lang w:val="en-US"/>
        </w:rPr>
        <w:t>By integrating key functionalities into a unified platform, this project aims to improve medication adherence, optimize healthcare delivery, and enhance communication between patients and providers. The platform will empower patients to take an active role in their health management while providing healthcare providers with real-time, actionable data, leading to improved health outcomes and reduced administrative burdens.</w:t>
      </w:r>
    </w:p>
    <w:p w14:paraId="52668399" w14:textId="77777777" w:rsidR="005D11CC" w:rsidRDefault="005D11CC" w:rsidP="005D11CC">
      <w:pPr>
        <w:spacing w:before="100" w:beforeAutospacing="1" w:after="100" w:afterAutospacing="1" w:line="240" w:lineRule="auto"/>
        <w:rPr>
          <w:rStyle w:val="Heading2Char"/>
          <w:rFonts w:eastAsiaTheme="minorHAnsi"/>
          <w:lang w:val="en-US"/>
        </w:rPr>
      </w:pPr>
    </w:p>
    <w:p w14:paraId="636477B7" w14:textId="77777777" w:rsidR="005D11CC" w:rsidRDefault="005D11CC" w:rsidP="005D11CC">
      <w:pPr>
        <w:spacing w:before="100" w:beforeAutospacing="1" w:after="100" w:afterAutospacing="1" w:line="240" w:lineRule="auto"/>
        <w:rPr>
          <w:rStyle w:val="Heading2Char"/>
          <w:rFonts w:eastAsiaTheme="minorHAnsi"/>
          <w:lang w:val="en-US"/>
        </w:rPr>
      </w:pPr>
    </w:p>
    <w:p w14:paraId="11AF0323" w14:textId="77777777" w:rsidR="005D11CC" w:rsidRDefault="005D11CC" w:rsidP="005D11CC">
      <w:pPr>
        <w:spacing w:before="100" w:beforeAutospacing="1" w:after="100" w:afterAutospacing="1" w:line="240" w:lineRule="auto"/>
        <w:rPr>
          <w:rStyle w:val="Heading2Char"/>
          <w:rFonts w:eastAsiaTheme="minorHAnsi"/>
          <w:lang w:val="en-US"/>
        </w:rPr>
      </w:pPr>
    </w:p>
    <w:p w14:paraId="73C44C95" w14:textId="0F0D70DA" w:rsidR="005D11CC" w:rsidRDefault="00756C5C" w:rsidP="005D11CC">
      <w:pPr>
        <w:spacing w:before="100" w:beforeAutospacing="1" w:after="100" w:afterAutospacing="1" w:line="240" w:lineRule="auto"/>
        <w:rPr>
          <w:rStyle w:val="Heading2Char"/>
          <w:rFonts w:eastAsiaTheme="minorHAnsi"/>
          <w:lang w:val="en-US"/>
        </w:rPr>
      </w:pPr>
      <w:r w:rsidRPr="00756C5C">
        <w:rPr>
          <w:rStyle w:val="Heading2Char"/>
          <w:rFonts w:eastAsiaTheme="minorHAnsi"/>
          <w:lang w:val="en-US"/>
        </w:rPr>
        <w:lastRenderedPageBreak/>
        <w:t>Structure of the Report</w:t>
      </w:r>
      <w:r w:rsidR="00205046">
        <w:rPr>
          <w:rStyle w:val="Heading2Char"/>
          <w:rFonts w:eastAsiaTheme="minorHAnsi"/>
          <w:lang w:val="en-US"/>
        </w:rPr>
        <w:t>:</w:t>
      </w:r>
    </w:p>
    <w:p w14:paraId="6CC9E3C6" w14:textId="5CDBB53A" w:rsidR="00756C5C" w:rsidRPr="00756C5C" w:rsidRDefault="00756C5C" w:rsidP="005D11CC">
      <w:pPr>
        <w:spacing w:before="100" w:beforeAutospacing="1" w:after="100" w:afterAutospacing="1" w:line="240" w:lineRule="auto"/>
        <w:rPr>
          <w:rFonts w:asciiTheme="majorBidi" w:hAnsiTheme="majorBidi" w:cstheme="majorBidi"/>
          <w:b/>
          <w:bCs/>
          <w:color w:val="1A9DAC"/>
          <w:sz w:val="36"/>
          <w:szCs w:val="36"/>
          <w:lang w:val="en-US" w:eastAsia="en-GB"/>
        </w:rPr>
      </w:pPr>
      <w:r w:rsidRPr="00756C5C">
        <w:rPr>
          <w:rFonts w:ascii="Times New Roman" w:eastAsia="Times New Roman" w:hAnsi="Times New Roman" w:cs="Times New Roman"/>
          <w:sz w:val="24"/>
          <w:szCs w:val="24"/>
          <w:lang w:val="en-US"/>
        </w:rPr>
        <w:t>The remainder of this report is organized as follows: Chapter 2 provides a comprehensive review of relevant research and existing tools. Chapter 3 details the methodology and technical framework used to develop the platform. Chapter 4 discusses the implementation and evaluation of the proposed solution, while Chapter 5 presents conclusions and future directions.</w:t>
      </w:r>
    </w:p>
    <w:p w14:paraId="61E11A1A" w14:textId="77777777" w:rsidR="0098350F" w:rsidRPr="009600DE" w:rsidRDefault="0098350F" w:rsidP="0098350F">
      <w:pPr>
        <w:rPr>
          <w:rFonts w:asciiTheme="majorBidi" w:hAnsiTheme="majorBidi" w:cstheme="majorBidi"/>
        </w:rPr>
      </w:pPr>
    </w:p>
    <w:p w14:paraId="13B35374" w14:textId="7364BFC2" w:rsidR="0098350F" w:rsidRPr="009600DE" w:rsidRDefault="009B2A80" w:rsidP="009B2A80">
      <w:pPr>
        <w:pStyle w:val="IntenseQuote"/>
        <w:rPr>
          <w:rFonts w:asciiTheme="majorBidi" w:hAnsiTheme="majorBidi" w:cstheme="majorBidi"/>
          <w:sz w:val="24"/>
          <w:szCs w:val="24"/>
        </w:rPr>
      </w:pPr>
      <w:r>
        <w:t>The next chapter provides a comprehensive literature review of relevant research, highlighting gaps and justifying the project.</w:t>
      </w:r>
      <w:r w:rsidR="0098350F" w:rsidRPr="009600DE">
        <w:rPr>
          <w:rFonts w:asciiTheme="majorBidi" w:hAnsiTheme="majorBidi" w:cstheme="majorBidi"/>
          <w:sz w:val="24"/>
          <w:szCs w:val="24"/>
        </w:rPr>
        <w:br w:type="page"/>
      </w:r>
    </w:p>
    <w:p w14:paraId="61955438" w14:textId="77777777" w:rsidR="0098350F" w:rsidRPr="009600DE" w:rsidRDefault="0098350F" w:rsidP="0098350F">
      <w:pPr>
        <w:pStyle w:val="Heading1"/>
        <w:rPr>
          <w:rFonts w:asciiTheme="majorBidi" w:hAnsiTheme="majorBidi" w:cstheme="majorBidi"/>
        </w:rPr>
      </w:pPr>
      <w:r w:rsidRPr="009600DE">
        <w:rPr>
          <w:rFonts w:asciiTheme="majorBidi" w:hAnsiTheme="majorBidi" w:cstheme="majorBidi"/>
        </w:rPr>
        <w:lastRenderedPageBreak/>
        <w:t>Chapter 2 (Literature review)</w:t>
      </w:r>
    </w:p>
    <w:p w14:paraId="38CCC255" w14:textId="74077694" w:rsidR="0098350F" w:rsidRPr="009600DE" w:rsidRDefault="002A631C" w:rsidP="00582A19">
      <w:pPr>
        <w:pStyle w:val="Heading2"/>
      </w:pPr>
      <w:r>
        <w:t>1.</w:t>
      </w:r>
      <w:r w:rsidR="0098350F" w:rsidRPr="00582A19">
        <w:t>Introduction</w:t>
      </w:r>
      <w:r w:rsidR="0098350F" w:rsidRPr="009600DE">
        <w:t>:</w:t>
      </w:r>
    </w:p>
    <w:p w14:paraId="2248167D"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In modern healthcare, effective communication and efficient management of personal health information are critical for improving patient outcomes, particularly for those with chronic conditions. Challenges such as tracking medications, adhering to dosage schedules, and providing timely updates to healthcare providers contribute to significant issues, including medication non-adherence. Non-adherence rates, exceeding 50% for chronic treatments, result in deteriorating health, increased hospitalizations, and higher healthcare costs (BMJ Open, 2018).</w:t>
      </w:r>
    </w:p>
    <w:p w14:paraId="42938A8F"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Additionally, current healthcare systems often lack centralized, user-friendly platforms that enable patients to manage their health records, schedule appointments, and communicate with providers in real time. These gaps increase the burden on patients and hinder healthcare providers from making timely, informed decisions.</w:t>
      </w:r>
    </w:p>
    <w:p w14:paraId="31375EED"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This project addresses these challenges through the development of an integrated web application. The platform combines medication tracking, real-time data sharing, and streamlined appointment scheduling into a single, secure system. By empowering patients and enhancing provider-patient collaboration, the platform aims to improve adherence, optimize health outcomes, and reduce administrative inefficiencies.</w:t>
      </w:r>
    </w:p>
    <w:p w14:paraId="34416ECF" w14:textId="3C300FB2" w:rsidR="0098350F" w:rsidRPr="009600DE" w:rsidRDefault="002A631C" w:rsidP="00582A19">
      <w:pPr>
        <w:pStyle w:val="Heading2"/>
      </w:pPr>
      <w:r>
        <w:t>2.</w:t>
      </w:r>
      <w:r w:rsidR="00BB592C">
        <w:t xml:space="preserve"> </w:t>
      </w:r>
      <w:r w:rsidR="0098350F" w:rsidRPr="009600DE">
        <w:t>Thematic Sections:</w:t>
      </w:r>
    </w:p>
    <w:p w14:paraId="43485076" w14:textId="77777777" w:rsidR="00582A19" w:rsidRDefault="00582A19" w:rsidP="00582A19">
      <w:pPr>
        <w:pStyle w:val="Heading3"/>
      </w:pPr>
      <w:r>
        <w:rPr>
          <w:rStyle w:val="Strong"/>
          <w:b w:val="0"/>
          <w:bCs w:val="0"/>
        </w:rPr>
        <w:t>2.1 Medication Adherence Across Healthcare Contexts</w:t>
      </w:r>
    </w:p>
    <w:p w14:paraId="48439F4D" w14:textId="77777777" w:rsidR="00582A19" w:rsidRDefault="00582A19" w:rsidP="00582A19">
      <w:pPr>
        <w:pStyle w:val="NormalWeb"/>
      </w:pPr>
      <w:r>
        <w:rPr>
          <w:rStyle w:val="Strong"/>
        </w:rPr>
        <w:t>Significance of Adherence</w:t>
      </w:r>
      <w:r>
        <w:br/>
        <w:t>Medication adherence, defined as the extent to which patients follow prescribed treatment regimens, is crucial for achieving optimal health outcomes. Non-adherence can lead to treatment failures, increased hospitalizations, and higher healthcare costs. For instance, a meta-analysis identified that medication non-adherence incurred a higher risk of hospital admissions and mortality (Kardas et al., 2020).</w:t>
      </w:r>
    </w:p>
    <w:p w14:paraId="65431E0B" w14:textId="77777777" w:rsidR="00582A19" w:rsidRDefault="00582A19" w:rsidP="00582A19">
      <w:pPr>
        <w:pStyle w:val="NormalWeb"/>
      </w:pPr>
      <w:r>
        <w:rPr>
          <w:rStyle w:val="Strong"/>
        </w:rPr>
        <w:t>Challenges in Medication Adherence</w:t>
      </w:r>
      <w:r>
        <w:br/>
        <w:t>Patients encounter various barriers to adherence. Complex medication regimens can overwhelm patients, often resulting in missed doses. Additionally, side effects associated with medications discourage continued use for many individuals. Forgetfulness is another significant factor, particularly among the elderly or those managing multiple medications simultaneously. Furthermore, a lack of understanding regarding the importance of adherence or the consequences of non-adherence remains a critical challenge. An overview of systematic reviews highlighted that non-adherence is a major barrier to effective healthcare delivery (</w:t>
      </w:r>
      <w:proofErr w:type="spellStart"/>
      <w:r>
        <w:t>Nieuwlaat</w:t>
      </w:r>
      <w:proofErr w:type="spellEnd"/>
      <w:r>
        <w:t xml:space="preserve"> et al., 2014).</w:t>
      </w:r>
    </w:p>
    <w:p w14:paraId="5AE47A5D" w14:textId="77777777" w:rsidR="00582A19" w:rsidRDefault="00582A19" w:rsidP="00582A19">
      <w:pPr>
        <w:pStyle w:val="NormalWeb"/>
      </w:pPr>
      <w:r>
        <w:rPr>
          <w:rStyle w:val="Strong"/>
        </w:rPr>
        <w:t xml:space="preserve">Impact of </w:t>
      </w:r>
      <w:proofErr w:type="gramStart"/>
      <w:r>
        <w:rPr>
          <w:rStyle w:val="Strong"/>
        </w:rPr>
        <w:t>Non-Adherence</w:t>
      </w:r>
      <w:proofErr w:type="gramEnd"/>
      <w:r>
        <w:br/>
        <w:t xml:space="preserve">The consequences of non-adherence are substantial, affecting both health outcomes and healthcare systems. Patients often experience health deterioration due to ineffective treatment, leading to increased hospitalizations and higher healthcare utilization costs. </w:t>
      </w:r>
      <w:r>
        <w:lastRenderedPageBreak/>
        <w:t>Economically, non-adherence imposes a significant burden on healthcare systems, as highlighted by studies linking it to preventable expenses and resource strain (Cutler et al., 2018).</w:t>
      </w:r>
    </w:p>
    <w:p w14:paraId="0A3730FB" w14:textId="77777777" w:rsidR="00582A19" w:rsidRDefault="00582A19" w:rsidP="00582A19">
      <w:pPr>
        <w:pStyle w:val="NormalWeb"/>
      </w:pPr>
      <w:r>
        <w:rPr>
          <w:rStyle w:val="Strong"/>
        </w:rPr>
        <w:t>Existing Tools and Gaps</w:t>
      </w:r>
      <w:r>
        <w:br/>
        <w:t>Several interventions have been developed to improve medication adherence. Digital reminders, such as mobile apps and electronic devices, have been employed to prompt patients to take their medications. Patient education programs have also been implemented to enhance understanding of treatment regimens. However, these tools often face limitations. Usability issues, such as complex interfaces, deter patient engagement, and many tools lack seamless integration with healthcare providers' systems, hindering coordinated care. A narrative review emphasized the need for innovative and effective interventions tailored to the individual needs of patients (Kardas et al., 2020).</w:t>
      </w:r>
    </w:p>
    <w:p w14:paraId="0B424057" w14:textId="236A7D3E" w:rsidR="00582A19" w:rsidRDefault="00582A19" w:rsidP="00582A19">
      <w:pPr>
        <w:pStyle w:val="NormalWeb"/>
      </w:pPr>
      <w:r>
        <w:t>Addressing these challenges requires solutions that prioritize user-friendliness, integration, and personalized support to cater to diverse patient populations.</w:t>
      </w:r>
    </w:p>
    <w:p w14:paraId="07AB0F85" w14:textId="77777777" w:rsidR="00582A19" w:rsidRDefault="00582A19" w:rsidP="00582A19">
      <w:pPr>
        <w:pStyle w:val="Heading3"/>
      </w:pPr>
      <w:r>
        <w:rPr>
          <w:rStyle w:val="Strong"/>
          <w:b w:val="0"/>
          <w:bCs w:val="0"/>
        </w:rPr>
        <w:t xml:space="preserve">2.2 Applications for Digital Health </w:t>
      </w:r>
      <w:r w:rsidRPr="00582A19">
        <w:rPr>
          <w:rStyle w:val="Strong"/>
          <w:b w:val="0"/>
          <w:bCs w:val="0"/>
        </w:rPr>
        <w:t>Technologies</w:t>
      </w:r>
    </w:p>
    <w:p w14:paraId="487F177B" w14:textId="77777777" w:rsidR="00582A19" w:rsidRDefault="00582A19" w:rsidP="00582A19">
      <w:pPr>
        <w:pStyle w:val="NormalWeb"/>
      </w:pPr>
      <w:r>
        <w:rPr>
          <w:rStyle w:val="Strong"/>
        </w:rPr>
        <w:t>Overview of Digital Health Platforms</w:t>
      </w:r>
      <w:r>
        <w:br/>
        <w:t xml:space="preserve">Digital health technologies encompass a wide range of tools designed to enhance healthcare delivery and improve patient outcomes. These tools include telemedicine services, electronic health records (EHRs), wearable devices, and mobile health applications. For instance, platforms like </w:t>
      </w:r>
      <w:proofErr w:type="spellStart"/>
      <w:r>
        <w:t>HealthHero</w:t>
      </w:r>
      <w:proofErr w:type="spellEnd"/>
      <w:r>
        <w:t xml:space="preserve"> provide virtual consultations, enabling patients to access medical advice remotely and enhancing accessibility and convenience (</w:t>
      </w:r>
      <w:proofErr w:type="spellStart"/>
      <w:r>
        <w:t>HealthHero</w:t>
      </w:r>
      <w:proofErr w:type="spellEnd"/>
      <w:r>
        <w:t>, 2023).</w:t>
      </w:r>
    </w:p>
    <w:p w14:paraId="4EB4A0C7" w14:textId="77777777" w:rsidR="00582A19" w:rsidRDefault="00582A19" w:rsidP="00582A19">
      <w:pPr>
        <w:pStyle w:val="NormalWeb"/>
      </w:pPr>
      <w:r>
        <w:rPr>
          <w:rStyle w:val="Strong"/>
        </w:rPr>
        <w:t>Benefits of Digital Health</w:t>
      </w:r>
      <w:r>
        <w:br/>
        <w:t>The integration of digital technologies offers numerous benefits to both patients and healthcare providers. Patients can consult healthcare providers remotely, reducing the need for travel and minimizing disruptions to daily life. Wearable devices and mobile apps facilitate continuous health monitoring, enabling early detection of potential health issues. Additionally, digital tools empower patients by providing access to their health data, promoting informed decision-making and active participation in their care. The World Health Organization (WHO) highlights that digital health improves the efficiency and sustainability of healthcare systems while ensuring good quality, affordable, and equitable care (WHO, 2021).</w:t>
      </w:r>
    </w:p>
    <w:p w14:paraId="0288D61A" w14:textId="77777777" w:rsidR="00582A19" w:rsidRDefault="00582A19" w:rsidP="00582A19">
      <w:pPr>
        <w:pStyle w:val="NormalWeb"/>
      </w:pPr>
      <w:r>
        <w:rPr>
          <w:rStyle w:val="Strong"/>
        </w:rPr>
        <w:t>Limitations of Existing Technologies</w:t>
      </w:r>
      <w:r>
        <w:br/>
        <w:t>Despite their advantages, digital health technologies face several limitations. Usability challenges, such as complex interfaces and technical difficulties, hinder user engagement, particularly for individuals who are less technologically adept. Concerns about data privacy and security also pose significant barriers, as the handling of sensitive health information raises issues related to confidentiality and trust. Moreover, many digital tools lack integration with existing healthcare systems, resulting in fragmented care and inefficiencies. A report by The King's Fund underscores the complexity of implementing large-scale digital changes in health and social care, highlighting the importance of addressing these challenges to ensure success (The King’s Fund, 2020).</w:t>
      </w:r>
    </w:p>
    <w:p w14:paraId="568A54D2" w14:textId="77777777" w:rsidR="00582A19" w:rsidRDefault="00582A19" w:rsidP="00582A19">
      <w:pPr>
        <w:pStyle w:val="NormalWeb"/>
      </w:pPr>
      <w:r>
        <w:lastRenderedPageBreak/>
        <w:t>To overcome these barriers, digital health solutions must focus on user-centric designs, robust data security measures, and seamless integration with healthcare systems to maximize their potential and adoption.</w:t>
      </w:r>
    </w:p>
    <w:p w14:paraId="53D66666" w14:textId="1C71366A" w:rsidR="0098350F" w:rsidRPr="009600DE" w:rsidRDefault="003328E1" w:rsidP="00582A19">
      <w:pPr>
        <w:pStyle w:val="Heading3"/>
      </w:pPr>
      <w:r>
        <w:t>2.3</w:t>
      </w:r>
      <w:r w:rsidR="00582A19">
        <w:t xml:space="preserve"> </w:t>
      </w:r>
      <w:r w:rsidR="0098350F" w:rsidRPr="009600DE">
        <w:t>Appointment Scheduling and Communication Tools</w:t>
      </w:r>
    </w:p>
    <w:p w14:paraId="632340A0"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Importance of Efficient Appointment Scheduling</w:t>
      </w:r>
    </w:p>
    <w:p w14:paraId="5A7337B4"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Efficient appointment scheduling is crucial in healthcare for optimizing patient flow, enhancing resource utilization, and improving overall care delivery. Accurate scheduling ensures that patients receive timely medical attention, which is essential for effective treatment outcomes. Moreover, well-organized scheduling minimizes patient wait times and maximizes the utilization of healthcare providers' time, leading to increased patient satisfaction and better clinical efficiency (Hughes, 2024).</w:t>
      </w:r>
    </w:p>
    <w:p w14:paraId="112CDEB8"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Challenges in Current Systems</w:t>
      </w:r>
    </w:p>
    <w:p w14:paraId="0168E2A8"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Despite its importance, many healthcare facilities face challenges in implementing effective scheduling systems. Common issues include overbooking, underutilization of appointment slots, and high rates of patient no-shows. These challenges can lead to increased operational costs, reduced patient satisfaction, and strained provider-patient relationships. Barriers to adopting efficient scheduling systems often involve the costs associated with implementing new technologies and the complexity of integrating these systems into existing workflows (Hughes, 2024).</w:t>
      </w:r>
    </w:p>
    <w:p w14:paraId="2FCC0825"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Digital Solutions for Communication</w:t>
      </w:r>
    </w:p>
    <w:p w14:paraId="4161475D"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The advent of digital communication tools has the potential to address many of these scheduling challenges. Platforms offering features such as automated appointment reminders, patient self-scheduling, and real-time communication between patients and providers can significantly reduce no-show rates and enhance scheduling efficiency. For instance, the NHS has been promoting the use of digital tools to improve patient engagement and streamline communication, aiming to make health systems more efficient and sustainable (NHS England, 2023).</w:t>
      </w:r>
    </w:p>
    <w:p w14:paraId="4BFB8A8C"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By leveraging these digital solutions, healthcare providers can improve appointment adherence, optimize resource allocation, and enhance the overall patient experience.</w:t>
      </w:r>
    </w:p>
    <w:p w14:paraId="0BFEF13B" w14:textId="7012CDE1" w:rsidR="0098350F" w:rsidRPr="009600DE" w:rsidRDefault="003328E1" w:rsidP="00582A19">
      <w:pPr>
        <w:pStyle w:val="Heading3"/>
      </w:pPr>
      <w:r>
        <w:t>2.4</w:t>
      </w:r>
      <w:r w:rsidR="00582A19">
        <w:t xml:space="preserve"> </w:t>
      </w:r>
      <w:r w:rsidR="0098350F" w:rsidRPr="009600DE">
        <w:t>Data Sharing and Security in Healthcare Systems</w:t>
      </w:r>
    </w:p>
    <w:p w14:paraId="4E792C24" w14:textId="77777777" w:rsidR="0098350F" w:rsidRPr="009600DE" w:rsidRDefault="0098350F" w:rsidP="0098350F">
      <w:pPr>
        <w:rPr>
          <w:rFonts w:asciiTheme="majorBidi" w:hAnsiTheme="majorBidi" w:cstheme="majorBidi"/>
        </w:rPr>
      </w:pPr>
    </w:p>
    <w:p w14:paraId="199F3467"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The Role of Real-Time Data Sharing</w:t>
      </w:r>
    </w:p>
    <w:p w14:paraId="0BAA064C" w14:textId="77777777" w:rsidR="0098350F" w:rsidRPr="009600DE" w:rsidRDefault="0098350F" w:rsidP="0098350F">
      <w:pPr>
        <w:spacing w:before="100" w:beforeAutospacing="1" w:after="100" w:afterAutospacing="1" w:line="240" w:lineRule="auto"/>
        <w:rPr>
          <w:rFonts w:asciiTheme="majorBidi" w:eastAsia="Times New Roman" w:hAnsiTheme="majorBidi" w:cstheme="majorBidi"/>
          <w:sz w:val="24"/>
          <w:szCs w:val="24"/>
        </w:rPr>
      </w:pPr>
      <w:r w:rsidRPr="009600DE">
        <w:rPr>
          <w:rFonts w:asciiTheme="majorBidi" w:eastAsia="Times New Roman" w:hAnsiTheme="majorBidi" w:cstheme="majorBidi"/>
          <w:sz w:val="24"/>
          <w:szCs w:val="24"/>
        </w:rPr>
        <w:br/>
        <w:t>Real-time data sharing is essential for timely and effective patient care. It allows healthcare providers to access up-to-date information, enabling better decision-making and treatment coordination. For instance, the NHS emphasizes data and clinical record sharing to enhance integrated care (NHS England, 2023).</w:t>
      </w:r>
    </w:p>
    <w:p w14:paraId="14C051E7"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lastRenderedPageBreak/>
        <w:t>Challenges in Data Security</w:t>
      </w:r>
    </w:p>
    <w:p w14:paraId="3112B88D" w14:textId="77777777" w:rsidR="0098350F" w:rsidRPr="009600DE" w:rsidRDefault="0098350F" w:rsidP="0098350F">
      <w:pPr>
        <w:spacing w:before="100" w:beforeAutospacing="1" w:after="100" w:afterAutospacing="1" w:line="240" w:lineRule="auto"/>
        <w:rPr>
          <w:rFonts w:asciiTheme="majorBidi" w:eastAsia="Times New Roman" w:hAnsiTheme="majorBidi" w:cstheme="majorBidi"/>
          <w:sz w:val="24"/>
          <w:szCs w:val="24"/>
        </w:rPr>
      </w:pPr>
      <w:r w:rsidRPr="009600DE">
        <w:rPr>
          <w:rFonts w:asciiTheme="majorBidi" w:eastAsia="Times New Roman" w:hAnsiTheme="majorBidi" w:cstheme="majorBidi"/>
          <w:sz w:val="24"/>
          <w:szCs w:val="24"/>
        </w:rPr>
        <w:br/>
        <w:t>Managing sensitive health data poses significant security risks, including breaches that can result in privacy violations and misuse. The World Economic Forum highlights cyberattacks and illegal data sharing as key concerns (World Economic Forum, 2022).</w:t>
      </w:r>
    </w:p>
    <w:p w14:paraId="363EC474"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Solutions for Secure Data Sharing</w:t>
      </w:r>
    </w:p>
    <w:p w14:paraId="210357B5" w14:textId="77777777" w:rsidR="0098350F" w:rsidRPr="009600DE" w:rsidRDefault="0098350F" w:rsidP="0098350F">
      <w:pPr>
        <w:spacing w:before="100" w:beforeAutospacing="1" w:after="100" w:afterAutospacing="1" w:line="240" w:lineRule="auto"/>
        <w:rPr>
          <w:rFonts w:asciiTheme="majorBidi" w:eastAsia="Times New Roman" w:hAnsiTheme="majorBidi" w:cstheme="majorBidi"/>
          <w:sz w:val="24"/>
          <w:szCs w:val="24"/>
        </w:rPr>
      </w:pPr>
      <w:r w:rsidRPr="009600DE">
        <w:rPr>
          <w:rFonts w:asciiTheme="majorBidi" w:eastAsia="Times New Roman" w:hAnsiTheme="majorBidi" w:cstheme="majorBidi"/>
          <w:sz w:val="24"/>
          <w:szCs w:val="24"/>
        </w:rPr>
        <w:br/>
        <w:t>To address these challenges, measures such as encryption, authentication, and compliance with regulations like GDPR and HIPAA are critical. Tools like the NHS Data Security and Protection Toolkit help ensure organizations meet data security standards (NHS Digital, 2024). Emerging technologies, such as blockchain, offer decentralized and tamper-resistant data sharing, enhancing security (Kumar et al., 2023).</w:t>
      </w:r>
    </w:p>
    <w:p w14:paraId="18486BC2" w14:textId="77777777" w:rsidR="0098350F" w:rsidRPr="009600DE" w:rsidRDefault="0098350F" w:rsidP="0098350F">
      <w:pPr>
        <w:spacing w:before="100" w:beforeAutospacing="1" w:after="100" w:afterAutospacing="1" w:line="240" w:lineRule="auto"/>
        <w:rPr>
          <w:rFonts w:asciiTheme="majorBidi" w:eastAsia="Times New Roman" w:hAnsiTheme="majorBidi" w:cstheme="majorBidi"/>
          <w:sz w:val="24"/>
          <w:szCs w:val="24"/>
        </w:rPr>
      </w:pPr>
      <w:r w:rsidRPr="009600DE">
        <w:rPr>
          <w:rFonts w:asciiTheme="majorBidi" w:eastAsia="Times New Roman" w:hAnsiTheme="majorBidi" w:cstheme="majorBidi"/>
          <w:sz w:val="24"/>
          <w:szCs w:val="24"/>
        </w:rPr>
        <w:t>By implementing these strategies, healthcare systems can safeguard patient data and ensure secure, efficient information sharing.</w:t>
      </w:r>
    </w:p>
    <w:p w14:paraId="0AE3ABE4" w14:textId="77777777" w:rsidR="00A62572" w:rsidRPr="00A62572" w:rsidRDefault="00A62572" w:rsidP="00A62572">
      <w:pPr>
        <w:pStyle w:val="Heading2"/>
        <w:rPr>
          <w:lang w:val="en-US"/>
        </w:rPr>
      </w:pPr>
      <w:r w:rsidRPr="00A62572">
        <w:rPr>
          <w:lang w:val="en-US"/>
        </w:rPr>
        <w:t>3. Gaps in Literature</w:t>
      </w:r>
    </w:p>
    <w:p w14:paraId="5B45F702"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sz w:val="24"/>
          <w:szCs w:val="24"/>
          <w:lang w:val="en-US"/>
        </w:rPr>
        <w:t>Despite advancements in digital health technologies, several critical gaps persist, underscoring the need for an innovative and integrated solution.</w:t>
      </w:r>
    </w:p>
    <w:p w14:paraId="2621F5E0"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Fragmented Functionality</w:t>
      </w:r>
      <w:r w:rsidRPr="00A62572">
        <w:rPr>
          <w:rFonts w:ascii="Times New Roman" w:eastAsia="Times New Roman" w:hAnsi="Times New Roman" w:cs="Times New Roman"/>
          <w:sz w:val="24"/>
          <w:szCs w:val="24"/>
          <w:lang w:val="en-US"/>
        </w:rPr>
        <w:br/>
        <w:t>Many existing healthcare platforms focus on single-use cases, such as medication tracking, appointment scheduling, or teleconsultation. This lack of integration forces users to juggle multiple applications, resulting in inefficiencies and disjointed care delivery. Consequently, healthcare providers struggle to provide holistic and coordinated services (Hughes, 2024; NHS England, 2023).</w:t>
      </w:r>
    </w:p>
    <w:p w14:paraId="7FE2464C"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Usability Challenges</w:t>
      </w:r>
      <w:r w:rsidRPr="00A62572">
        <w:rPr>
          <w:rFonts w:ascii="Times New Roman" w:eastAsia="Times New Roman" w:hAnsi="Times New Roman" w:cs="Times New Roman"/>
          <w:sz w:val="24"/>
          <w:szCs w:val="24"/>
          <w:lang w:val="en-US"/>
        </w:rPr>
        <w:br/>
      </w:r>
      <w:proofErr w:type="gramStart"/>
      <w:r w:rsidRPr="00A62572">
        <w:rPr>
          <w:rFonts w:ascii="Times New Roman" w:eastAsia="Times New Roman" w:hAnsi="Times New Roman" w:cs="Times New Roman"/>
          <w:sz w:val="24"/>
          <w:szCs w:val="24"/>
          <w:lang w:val="en-US"/>
        </w:rPr>
        <w:t>Non-intuitive</w:t>
      </w:r>
      <w:proofErr w:type="gramEnd"/>
      <w:r w:rsidRPr="00A62572">
        <w:rPr>
          <w:rFonts w:ascii="Times New Roman" w:eastAsia="Times New Roman" w:hAnsi="Times New Roman" w:cs="Times New Roman"/>
          <w:sz w:val="24"/>
          <w:szCs w:val="24"/>
          <w:lang w:val="en-US"/>
        </w:rPr>
        <w:t xml:space="preserve"> interfaces remain a common limitation in many digital health tools, making them difficult to navigate, particularly for elderly patients and individuals with limited digital literacy. Usability issues reduce engagement and adherence, ultimately negating the benefits these tools aim to provide (World Economic Forum, 2022). Overly complex applications exacerbate non-adherence, further diminishing their effectiveness.</w:t>
      </w:r>
    </w:p>
    <w:p w14:paraId="26AFCD18"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Security and Privacy Concerns</w:t>
      </w:r>
      <w:r w:rsidRPr="00A62572">
        <w:rPr>
          <w:rFonts w:ascii="Times New Roman" w:eastAsia="Times New Roman" w:hAnsi="Times New Roman" w:cs="Times New Roman"/>
          <w:sz w:val="24"/>
          <w:szCs w:val="24"/>
          <w:lang w:val="en-US"/>
        </w:rPr>
        <w:br/>
        <w:t>The sensitive nature of health data necessitates robust security measures. However, healthcare platforms frequently fail to implement end-to-end encryption and secure access protocols, leaving them vulnerable to breaches and cyberattacks. Although regulations like GDPR and HIPAA provide clear guidelines, inconsistent implementation undermines patient trust and confidentiality (NHS Digital, 2024; Kumar et al., 2023).</w:t>
      </w:r>
    </w:p>
    <w:p w14:paraId="415BD262"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Limited Real-Time Data Sharing</w:t>
      </w:r>
      <w:r w:rsidRPr="00A62572">
        <w:rPr>
          <w:rFonts w:ascii="Times New Roman" w:eastAsia="Times New Roman" w:hAnsi="Times New Roman" w:cs="Times New Roman"/>
          <w:sz w:val="24"/>
          <w:szCs w:val="24"/>
          <w:lang w:val="en-US"/>
        </w:rPr>
        <w:br/>
        <w:t xml:space="preserve">Real-time communication between patients and providers is essential for timely interventions and optimal care. Unfortunately, many platforms lack real-time data-sharing capabilities, </w:t>
      </w:r>
      <w:r w:rsidRPr="00A62572">
        <w:rPr>
          <w:rFonts w:ascii="Times New Roman" w:eastAsia="Times New Roman" w:hAnsi="Times New Roman" w:cs="Times New Roman"/>
          <w:sz w:val="24"/>
          <w:szCs w:val="24"/>
          <w:lang w:val="en-US"/>
        </w:rPr>
        <w:lastRenderedPageBreak/>
        <w:t>leading to delays in updates, suboptimal monitoring of adherence, and inadequate responses to patient needs (NHS England, 2023).</w:t>
      </w:r>
    </w:p>
    <w:p w14:paraId="7AA2CA12"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Barriers to Adoption</w:t>
      </w:r>
      <w:r w:rsidRPr="00A62572">
        <w:rPr>
          <w:rFonts w:ascii="Times New Roman" w:eastAsia="Times New Roman" w:hAnsi="Times New Roman" w:cs="Times New Roman"/>
          <w:sz w:val="24"/>
          <w:szCs w:val="24"/>
          <w:lang w:val="en-US"/>
        </w:rPr>
        <w:br/>
        <w:t>The high cost and complexity of implementing digital health tools deter adoption among both patients and healthcare providers. Limited integration into existing systems further restricts access, particularly in low-resource settings where budgets are constrained (World Economic Forum, 2022).</w:t>
      </w:r>
    </w:p>
    <w:p w14:paraId="522F17E3"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Neglected Patient-Centered Care Models</w:t>
      </w:r>
      <w:r w:rsidRPr="00A62572">
        <w:rPr>
          <w:rFonts w:ascii="Times New Roman" w:eastAsia="Times New Roman" w:hAnsi="Times New Roman" w:cs="Times New Roman"/>
          <w:sz w:val="24"/>
          <w:szCs w:val="24"/>
          <w:lang w:val="en-US"/>
        </w:rPr>
        <w:br/>
        <w:t>Few platforms effectively align with patient-centered care principles. Limited customization options, lack of shared decision-making tools, and failure to address diverse patient needs prevent users from fully engaging with these systems. This gap highlights the necessity of designing platforms that cater to individual preferences and healthcare requirements (Hughes, 2024).</w:t>
      </w:r>
    </w:p>
    <w:p w14:paraId="73B44956"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sz w:val="24"/>
          <w:szCs w:val="24"/>
          <w:lang w:val="en-US"/>
        </w:rPr>
        <w:t>By addressing these gaps, digital health technologies can move closer to delivering efficient, accessible, and patient-centered solutions.</w:t>
      </w:r>
    </w:p>
    <w:p w14:paraId="666E5B54" w14:textId="2595ABB3" w:rsidR="00A62572" w:rsidRPr="00A62572" w:rsidRDefault="00A62572" w:rsidP="00A62572">
      <w:pPr>
        <w:spacing w:after="0" w:line="240" w:lineRule="auto"/>
        <w:rPr>
          <w:rFonts w:ascii="Times New Roman" w:eastAsia="Times New Roman" w:hAnsi="Times New Roman" w:cs="Times New Roman"/>
          <w:sz w:val="24"/>
          <w:szCs w:val="24"/>
          <w:lang w:val="en-US"/>
        </w:rPr>
      </w:pPr>
    </w:p>
    <w:p w14:paraId="32B2A5B8" w14:textId="77777777" w:rsidR="00A62572" w:rsidRPr="00A62572" w:rsidRDefault="00A62572" w:rsidP="00A62572">
      <w:pPr>
        <w:pStyle w:val="Heading2"/>
        <w:rPr>
          <w:lang w:val="en-US"/>
        </w:rPr>
      </w:pPr>
      <w:r w:rsidRPr="00A62572">
        <w:rPr>
          <w:lang w:val="en-US"/>
        </w:rPr>
        <w:t>4. Proposed Solutions to Address Gaps</w:t>
      </w:r>
    </w:p>
    <w:p w14:paraId="0A8C5585"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Integrated Healthcare Platform</w:t>
      </w:r>
      <w:r w:rsidRPr="00A62572">
        <w:rPr>
          <w:rFonts w:ascii="Times New Roman" w:eastAsia="Times New Roman" w:hAnsi="Times New Roman" w:cs="Times New Roman"/>
          <w:sz w:val="24"/>
          <w:szCs w:val="24"/>
          <w:lang w:val="en-US"/>
        </w:rPr>
        <w:br/>
        <w:t>The proposed solution is a comprehensive healthcare management platform that seamlessly integrates medication adherence tools, appointment scheduling, real-time data sharing, and secure communication into a single system. APIs will enable seamless integration with wearable devices and existing healthcare systems, ensuring coordinated care and real-time monitoring.</w:t>
      </w:r>
    </w:p>
    <w:p w14:paraId="44B98258"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User-Centric Design</w:t>
      </w:r>
      <w:r w:rsidRPr="00A62572">
        <w:rPr>
          <w:rFonts w:ascii="Times New Roman" w:eastAsia="Times New Roman" w:hAnsi="Times New Roman" w:cs="Times New Roman"/>
          <w:sz w:val="24"/>
          <w:szCs w:val="24"/>
          <w:lang w:val="en-US"/>
        </w:rPr>
        <w:br/>
        <w:t>A user-friendly interface will prioritize accessibility and ease of use, addressing the challenges faced by individuals with limited digital literacy. Features such as visual aids, personalized dashboards, and automated notifications will enhance engagement and adherence.</w:t>
      </w:r>
    </w:p>
    <w:p w14:paraId="1BCA3832"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Secure Data Sharing Mechanisms</w:t>
      </w:r>
      <w:r w:rsidRPr="00A62572">
        <w:rPr>
          <w:rFonts w:ascii="Times New Roman" w:eastAsia="Times New Roman" w:hAnsi="Times New Roman" w:cs="Times New Roman"/>
          <w:sz w:val="24"/>
          <w:szCs w:val="24"/>
          <w:lang w:val="en-US"/>
        </w:rPr>
        <w:br/>
        <w:t>The platform will employ end-to-end encryption and blockchain technology to ensure secure and tamper-proof data sharing. Compliance with GDPR and HIPAA regulations will uphold ethical and legal standards, while a cloud-based infrastructure will facilitate real-time updates for timely and informed decision-making.</w:t>
      </w:r>
    </w:p>
    <w:p w14:paraId="37DAA1EB"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Advanced Appointment Scheduling System</w:t>
      </w:r>
      <w:r w:rsidRPr="00A62572">
        <w:rPr>
          <w:rFonts w:ascii="Times New Roman" w:eastAsia="Times New Roman" w:hAnsi="Times New Roman" w:cs="Times New Roman"/>
          <w:sz w:val="24"/>
          <w:szCs w:val="24"/>
          <w:lang w:val="en-US"/>
        </w:rPr>
        <w:br/>
        <w:t>An optimized appointment scheduling module will include automated reminders, real-time calendar updates, and patient self-scheduling. These features aim to reduce no-show rates, improve resource allocation, and enhance the overall patient experience. Integration with providers’ schedules will ensure seamless coordination.</w:t>
      </w:r>
    </w:p>
    <w:p w14:paraId="59828059"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lastRenderedPageBreak/>
        <w:t>Personalized Patient Support</w:t>
      </w:r>
      <w:r w:rsidRPr="00A62572">
        <w:rPr>
          <w:rFonts w:ascii="Times New Roman" w:eastAsia="Times New Roman" w:hAnsi="Times New Roman" w:cs="Times New Roman"/>
          <w:sz w:val="24"/>
          <w:szCs w:val="24"/>
          <w:lang w:val="en-US"/>
        </w:rPr>
        <w:br/>
        <w:t>AI-driven tools will analyze patient data to deliver tailored recommendations, reminders, and educational materials. By addressing individual needs, these tools will empower patients to manage their conditions effectively, improving adherence and health outcomes.</w:t>
      </w:r>
    </w:p>
    <w:p w14:paraId="0C75888C" w14:textId="20A793A6" w:rsidR="0098350F" w:rsidRPr="009600DE" w:rsidRDefault="002C57FD" w:rsidP="00582A19">
      <w:pPr>
        <w:pStyle w:val="Heading2"/>
      </w:pPr>
      <w:r>
        <w:t>5</w:t>
      </w:r>
      <w:r w:rsidR="003328E1">
        <w:t>.</w:t>
      </w:r>
      <w:r w:rsidR="00582A19">
        <w:t xml:space="preserve"> </w:t>
      </w:r>
      <w:r w:rsidR="0098350F" w:rsidRPr="009600DE">
        <w:t>Conclusion</w:t>
      </w:r>
    </w:p>
    <w:p w14:paraId="61ED1ECA" w14:textId="77777777" w:rsidR="002C57FD" w:rsidRDefault="002C57FD" w:rsidP="002C57FD">
      <w:pPr>
        <w:pStyle w:val="NormalWeb"/>
      </w:pPr>
      <w:r>
        <w:t>This literature review highlights several critical challenges in healthcare management, including medication non-adherence, inefficient appointment scheduling, limited real-time data sharing, and significant data security concerns. While existing digital health technologies have attempted to address these issues, they often lack integration, user-friendliness, and robust security measures, which hinders their widespread adoption and effectiveness.</w:t>
      </w:r>
    </w:p>
    <w:p w14:paraId="60C32165" w14:textId="77777777" w:rsidR="002C57FD" w:rsidRDefault="002C57FD" w:rsidP="002C57FD">
      <w:pPr>
        <w:pStyle w:val="NormalWeb"/>
      </w:pPr>
      <w:r>
        <w:t>The proposed solution, an integrated healthcare management platform, aims to bridge these gaps by unifying medication tracking, appointment scheduling, real-time communication, and secure data sharing. By prioritizing usability, affordability, and adherence to data protection standards, this platform will empower patients, enhance provider-patient collaboration, and optimize healthcare delivery.</w:t>
      </w:r>
    </w:p>
    <w:p w14:paraId="38E4FCC1" w14:textId="77777777" w:rsidR="002C57FD" w:rsidRDefault="002C57FD" w:rsidP="002C57FD">
      <w:pPr>
        <w:pStyle w:val="NormalWeb"/>
      </w:pPr>
      <w:r>
        <w:t>By leveraging advanced technologies such as APIs, blockchain, and AI-driven tools, the platform addresses critical barriers to adoption, including usability challenges, fragmented functionality, and data security concerns. The findings from this literature review provide a solid foundation for the development of this innovative solution. The next chapter will outline the methodology and technical framework guiding its implementation.</w:t>
      </w:r>
    </w:p>
    <w:p w14:paraId="13D5F3D7" w14:textId="77777777" w:rsidR="0098350F" w:rsidRDefault="0098350F" w:rsidP="0098350F">
      <w:pPr>
        <w:pStyle w:val="NormalWeb"/>
        <w:rPr>
          <w:rFonts w:asciiTheme="majorBidi" w:hAnsiTheme="majorBidi" w:cstheme="majorBidi"/>
        </w:rPr>
      </w:pPr>
    </w:p>
    <w:p w14:paraId="46D6E55C" w14:textId="77777777" w:rsidR="002C57FD" w:rsidRPr="002C57FD" w:rsidRDefault="002C57FD" w:rsidP="0098350F">
      <w:pPr>
        <w:pStyle w:val="NormalWeb"/>
        <w:rPr>
          <w:rFonts w:asciiTheme="majorBidi" w:hAnsiTheme="majorBidi" w:cstheme="majorBidi"/>
        </w:rPr>
      </w:pPr>
    </w:p>
    <w:p w14:paraId="11F834FB" w14:textId="77777777" w:rsidR="0098350F" w:rsidRPr="009600DE" w:rsidRDefault="0098350F" w:rsidP="0098350F">
      <w:pPr>
        <w:pStyle w:val="Heading1"/>
        <w:rPr>
          <w:rFonts w:asciiTheme="majorBidi" w:hAnsiTheme="majorBidi" w:cstheme="majorBidi"/>
        </w:rPr>
      </w:pPr>
      <w:r w:rsidRPr="009600DE">
        <w:rPr>
          <w:rFonts w:asciiTheme="majorBidi" w:hAnsiTheme="majorBidi" w:cstheme="majorBidi"/>
        </w:rPr>
        <w:t>References:</w:t>
      </w:r>
    </w:p>
    <w:p w14:paraId="7A154BA9" w14:textId="77777777" w:rsidR="0098350F" w:rsidRPr="009600DE" w:rsidRDefault="0098350F" w:rsidP="00582A19">
      <w:pPr>
        <w:pStyle w:val="Heading2"/>
        <w:rPr>
          <w:rFonts w:eastAsiaTheme="majorEastAsia"/>
        </w:rPr>
      </w:pPr>
      <w:r w:rsidRPr="009600DE">
        <w:rPr>
          <w:rFonts w:eastAsiaTheme="majorEastAsia"/>
        </w:rPr>
        <w:t>Introduction</w:t>
      </w:r>
    </w:p>
    <w:p w14:paraId="1E04815E"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BMJ Open (2018) ‘Medication adherence in chronic diseases: Rates and factors.’ </w:t>
      </w:r>
      <w:r w:rsidRPr="009600DE">
        <w:rPr>
          <w:rFonts w:asciiTheme="majorBidi" w:hAnsiTheme="majorBidi" w:cstheme="majorBidi"/>
          <w:i/>
          <w:iCs/>
        </w:rPr>
        <w:t>BMJ Open</w:t>
      </w:r>
      <w:r w:rsidRPr="009600DE">
        <w:rPr>
          <w:rFonts w:asciiTheme="majorBidi" w:hAnsiTheme="majorBidi" w:cstheme="majorBidi"/>
        </w:rPr>
        <w:t xml:space="preserve">, 8(1), e016982. Available from: </w:t>
      </w:r>
      <w:hyperlink r:id="rId12" w:tgtFrame="_new" w:history="1">
        <w:r w:rsidRPr="009600DE">
          <w:rPr>
            <w:rStyle w:val="Hyperlink"/>
            <w:rFonts w:asciiTheme="majorBidi" w:hAnsiTheme="majorBidi" w:cstheme="majorBidi"/>
          </w:rPr>
          <w:t>https://bmjopen.bmj.com/content/8/1/e016982</w:t>
        </w:r>
      </w:hyperlink>
      <w:r w:rsidRPr="009600DE">
        <w:rPr>
          <w:rFonts w:asciiTheme="majorBidi" w:hAnsiTheme="majorBidi" w:cstheme="majorBidi"/>
        </w:rPr>
        <w:t xml:space="preserve"> [Accessed 10 December 2024].</w:t>
      </w:r>
    </w:p>
    <w:p w14:paraId="2DE3A713" w14:textId="77777777" w:rsidR="0098350F" w:rsidRPr="009600DE" w:rsidRDefault="0098350F" w:rsidP="00582A19">
      <w:pPr>
        <w:pStyle w:val="Heading2"/>
        <w:rPr>
          <w:rFonts w:eastAsiaTheme="majorEastAsia"/>
        </w:rPr>
      </w:pPr>
      <w:r w:rsidRPr="009600DE">
        <w:rPr>
          <w:rFonts w:eastAsiaTheme="majorEastAsia"/>
        </w:rPr>
        <w:t>Literature Review</w:t>
      </w:r>
    </w:p>
    <w:p w14:paraId="118D5906"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Cutler, D.M., Everett, W. and Smith, S. (2018) ‘Adherence and medical outcomes.’ </w:t>
      </w:r>
      <w:r w:rsidRPr="009600DE">
        <w:rPr>
          <w:rFonts w:asciiTheme="majorBidi" w:hAnsiTheme="majorBidi" w:cstheme="majorBidi"/>
          <w:i/>
          <w:iCs/>
        </w:rPr>
        <w:t>Journal of Medicine</w:t>
      </w:r>
      <w:r w:rsidRPr="009600DE">
        <w:rPr>
          <w:rFonts w:asciiTheme="majorBidi" w:hAnsiTheme="majorBidi" w:cstheme="majorBidi"/>
        </w:rPr>
        <w:t>, 378(3), pp. 285–290. Available from: [Accessed 29 December 2024].</w:t>
      </w:r>
    </w:p>
    <w:p w14:paraId="769CFBD7"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Kardas, P., Lewek, P. and </w:t>
      </w:r>
      <w:proofErr w:type="spellStart"/>
      <w:r w:rsidRPr="009600DE">
        <w:rPr>
          <w:rFonts w:asciiTheme="majorBidi" w:hAnsiTheme="majorBidi" w:cstheme="majorBidi"/>
        </w:rPr>
        <w:t>Matyjaszczyk</w:t>
      </w:r>
      <w:proofErr w:type="spellEnd"/>
      <w:r w:rsidRPr="009600DE">
        <w:rPr>
          <w:rFonts w:asciiTheme="majorBidi" w:hAnsiTheme="majorBidi" w:cstheme="majorBidi"/>
        </w:rPr>
        <w:t xml:space="preserve">, M. (2020) ‘Determinants of patient adherence: A review of systematic reviews.’ </w:t>
      </w:r>
      <w:r w:rsidRPr="009600DE">
        <w:rPr>
          <w:rFonts w:asciiTheme="majorBidi" w:hAnsiTheme="majorBidi" w:cstheme="majorBidi"/>
          <w:i/>
          <w:iCs/>
        </w:rPr>
        <w:t>Frontiers in Pharmacology</w:t>
      </w:r>
      <w:r w:rsidRPr="009600DE">
        <w:rPr>
          <w:rFonts w:asciiTheme="majorBidi" w:hAnsiTheme="majorBidi" w:cstheme="majorBidi"/>
        </w:rPr>
        <w:t>, 11, pp. 639. Available from: [Accessed 29 December 2024].</w:t>
      </w:r>
    </w:p>
    <w:p w14:paraId="7F765DF0" w14:textId="77777777" w:rsidR="0098350F" w:rsidRPr="009600DE" w:rsidRDefault="0098350F" w:rsidP="0098350F">
      <w:pPr>
        <w:rPr>
          <w:rFonts w:asciiTheme="majorBidi" w:hAnsiTheme="majorBidi" w:cstheme="majorBidi"/>
        </w:rPr>
      </w:pPr>
      <w:proofErr w:type="spellStart"/>
      <w:r w:rsidRPr="009600DE">
        <w:rPr>
          <w:rFonts w:asciiTheme="majorBidi" w:hAnsiTheme="majorBidi" w:cstheme="majorBidi"/>
        </w:rPr>
        <w:lastRenderedPageBreak/>
        <w:t>Nieuwlaat</w:t>
      </w:r>
      <w:proofErr w:type="spellEnd"/>
      <w:r w:rsidRPr="009600DE">
        <w:rPr>
          <w:rFonts w:asciiTheme="majorBidi" w:hAnsiTheme="majorBidi" w:cstheme="majorBidi"/>
        </w:rPr>
        <w:t xml:space="preserve">, R., Wilczynski, N., Navarro, T., Hobson, N., Jeffery, R., </w:t>
      </w:r>
      <w:proofErr w:type="spellStart"/>
      <w:r w:rsidRPr="009600DE">
        <w:rPr>
          <w:rFonts w:asciiTheme="majorBidi" w:hAnsiTheme="majorBidi" w:cstheme="majorBidi"/>
        </w:rPr>
        <w:t>Keepanasseril</w:t>
      </w:r>
      <w:proofErr w:type="spellEnd"/>
      <w:r w:rsidRPr="009600DE">
        <w:rPr>
          <w:rFonts w:asciiTheme="majorBidi" w:hAnsiTheme="majorBidi" w:cstheme="majorBidi"/>
        </w:rPr>
        <w:t xml:space="preserve">, A., </w:t>
      </w:r>
      <w:proofErr w:type="spellStart"/>
      <w:r w:rsidRPr="009600DE">
        <w:rPr>
          <w:rFonts w:asciiTheme="majorBidi" w:hAnsiTheme="majorBidi" w:cstheme="majorBidi"/>
        </w:rPr>
        <w:t>Agoritsas</w:t>
      </w:r>
      <w:proofErr w:type="spellEnd"/>
      <w:r w:rsidRPr="009600DE">
        <w:rPr>
          <w:rFonts w:asciiTheme="majorBidi" w:hAnsiTheme="majorBidi" w:cstheme="majorBidi"/>
        </w:rPr>
        <w:t xml:space="preserve">, T., Mistry, N., Iorio, A. and Jack, S. (2014) ‘Interventions for enhancing medication adherence.’ </w:t>
      </w:r>
      <w:r w:rsidRPr="009600DE">
        <w:rPr>
          <w:rFonts w:asciiTheme="majorBidi" w:hAnsiTheme="majorBidi" w:cstheme="majorBidi"/>
          <w:i/>
          <w:iCs/>
        </w:rPr>
        <w:t>Cochrane Database of Systematic Reviews</w:t>
      </w:r>
      <w:r w:rsidRPr="009600DE">
        <w:rPr>
          <w:rFonts w:asciiTheme="majorBidi" w:hAnsiTheme="majorBidi" w:cstheme="majorBidi"/>
        </w:rPr>
        <w:t>, (11). Available from: [Accessed 29 December 2024].</w:t>
      </w:r>
    </w:p>
    <w:p w14:paraId="7AFEC3AF" w14:textId="77777777" w:rsidR="0098350F" w:rsidRPr="009600DE" w:rsidRDefault="0098350F" w:rsidP="0098350F">
      <w:pPr>
        <w:rPr>
          <w:rFonts w:asciiTheme="majorBidi" w:hAnsiTheme="majorBidi" w:cstheme="majorBidi"/>
        </w:rPr>
      </w:pPr>
      <w:proofErr w:type="spellStart"/>
      <w:r w:rsidRPr="009600DE">
        <w:rPr>
          <w:rFonts w:asciiTheme="majorBidi" w:hAnsiTheme="majorBidi" w:cstheme="majorBidi"/>
        </w:rPr>
        <w:t>HealthHero</w:t>
      </w:r>
      <w:proofErr w:type="spellEnd"/>
      <w:r w:rsidRPr="009600DE">
        <w:rPr>
          <w:rFonts w:asciiTheme="majorBidi" w:hAnsiTheme="majorBidi" w:cstheme="majorBidi"/>
        </w:rPr>
        <w:t xml:space="preserve"> (2023) ‘Virtual consultation platform.’ Available from: </w:t>
      </w:r>
      <w:hyperlink r:id="rId13" w:tgtFrame="_new" w:history="1">
        <w:r w:rsidRPr="009600DE">
          <w:rPr>
            <w:rStyle w:val="Hyperlink"/>
            <w:rFonts w:asciiTheme="majorBidi" w:hAnsiTheme="majorBidi" w:cstheme="majorBidi"/>
          </w:rPr>
          <w:t>https://www.thetimes.co.uk/article/healthhero-xhk7r23lb</w:t>
        </w:r>
      </w:hyperlink>
      <w:r w:rsidRPr="009600DE">
        <w:rPr>
          <w:rFonts w:asciiTheme="majorBidi" w:hAnsiTheme="majorBidi" w:cstheme="majorBidi"/>
        </w:rPr>
        <w:t xml:space="preserve"> [Accessed 3 January 2025].</w:t>
      </w:r>
    </w:p>
    <w:p w14:paraId="1AA60863"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The King’s Fund (2020) ‘Large-scale digital change in health and social care.’ Available from: </w:t>
      </w:r>
      <w:hyperlink r:id="rId14" w:tgtFrame="_new" w:history="1">
        <w:r w:rsidRPr="009600DE">
          <w:rPr>
            <w:rStyle w:val="Hyperlink"/>
            <w:rFonts w:asciiTheme="majorBidi" w:hAnsiTheme="majorBidi" w:cstheme="majorBidi"/>
          </w:rPr>
          <w:t>https://www.kingsfund.org.uk/insight-and-analysis/reports/digital-change-health-social-care</w:t>
        </w:r>
      </w:hyperlink>
      <w:r w:rsidRPr="009600DE">
        <w:rPr>
          <w:rFonts w:asciiTheme="majorBidi" w:hAnsiTheme="majorBidi" w:cstheme="majorBidi"/>
        </w:rPr>
        <w:t xml:space="preserve"> [Accessed 3 January 2025].</w:t>
      </w:r>
    </w:p>
    <w:p w14:paraId="6E9C8286"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WHO (2021) ‘Digital health.’ Available from: </w:t>
      </w:r>
      <w:hyperlink r:id="rId15" w:tgtFrame="_new" w:history="1">
        <w:r w:rsidRPr="009600DE">
          <w:rPr>
            <w:rStyle w:val="Hyperlink"/>
            <w:rFonts w:asciiTheme="majorBidi" w:hAnsiTheme="majorBidi" w:cstheme="majorBidi"/>
          </w:rPr>
          <w:t>https://www.who.int/health-topics/digital-health</w:t>
        </w:r>
      </w:hyperlink>
      <w:r w:rsidRPr="009600DE">
        <w:rPr>
          <w:rFonts w:asciiTheme="majorBidi" w:hAnsiTheme="majorBidi" w:cstheme="majorBidi"/>
        </w:rPr>
        <w:t xml:space="preserve"> [Accessed 3 January 2025].</w:t>
      </w:r>
    </w:p>
    <w:p w14:paraId="0548303E"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Hughes, S. (2024) ‘The importance of accurate patient scheduling in healthcare.’ Available from: </w:t>
      </w:r>
      <w:hyperlink r:id="rId16" w:tgtFrame="_new" w:history="1">
        <w:r w:rsidRPr="009600DE">
          <w:rPr>
            <w:rStyle w:val="Hyperlink"/>
            <w:rFonts w:asciiTheme="majorBidi" w:hAnsiTheme="majorBidi" w:cstheme="majorBidi"/>
          </w:rPr>
          <w:t>https://www.signatureperformance.com/post/the-importance-of-accurate-patient-scheduling-in-healthcare</w:t>
        </w:r>
      </w:hyperlink>
      <w:r w:rsidRPr="009600DE">
        <w:rPr>
          <w:rFonts w:asciiTheme="majorBidi" w:hAnsiTheme="majorBidi" w:cstheme="majorBidi"/>
        </w:rPr>
        <w:t xml:space="preserve"> [Accessed 3 January 2025].</w:t>
      </w:r>
    </w:p>
    <w:p w14:paraId="3D6F5AD1"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NHS England (2023) ‘Digital transformation.’ Available from: </w:t>
      </w:r>
      <w:hyperlink r:id="rId17" w:tgtFrame="_new" w:history="1">
        <w:r w:rsidRPr="009600DE">
          <w:rPr>
            <w:rStyle w:val="Hyperlink"/>
            <w:rFonts w:asciiTheme="majorBidi" w:hAnsiTheme="majorBidi" w:cstheme="majorBidi"/>
          </w:rPr>
          <w:t>https://www.england.nhs.uk/digitaltechnology/</w:t>
        </w:r>
      </w:hyperlink>
      <w:r w:rsidRPr="009600DE">
        <w:rPr>
          <w:rFonts w:asciiTheme="majorBidi" w:hAnsiTheme="majorBidi" w:cstheme="majorBidi"/>
        </w:rPr>
        <w:t xml:space="preserve"> [Accessed 3 January 2025].</w:t>
      </w:r>
    </w:p>
    <w:p w14:paraId="73FBE8C7"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NHS England (2023) ‘Data and clinical record sharing.’ Available from: </w:t>
      </w:r>
      <w:hyperlink r:id="rId18" w:tgtFrame="_new" w:history="1">
        <w:r w:rsidRPr="009600DE">
          <w:rPr>
            <w:rStyle w:val="Hyperlink"/>
            <w:rFonts w:asciiTheme="majorBidi" w:hAnsiTheme="majorBidi" w:cstheme="majorBidi"/>
          </w:rPr>
          <w:t>https://www.england.nhs.uk/long-read/data-and-clinical-record-sharing/</w:t>
        </w:r>
      </w:hyperlink>
      <w:r w:rsidRPr="009600DE">
        <w:rPr>
          <w:rFonts w:asciiTheme="majorBidi" w:hAnsiTheme="majorBidi" w:cstheme="majorBidi"/>
        </w:rPr>
        <w:t xml:space="preserve"> [Accessed 3 January 2025].</w:t>
      </w:r>
    </w:p>
    <w:p w14:paraId="221E06DE"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World Economic Forum (2022) ‘The importance of securing healthcare data.’ Available from: </w:t>
      </w:r>
      <w:hyperlink r:id="rId19" w:tgtFrame="_new" w:history="1">
        <w:r w:rsidRPr="009600DE">
          <w:rPr>
            <w:rStyle w:val="Hyperlink"/>
            <w:rFonts w:asciiTheme="majorBidi" w:hAnsiTheme="majorBidi" w:cstheme="majorBidi"/>
          </w:rPr>
          <w:t>https://www.weforum.org/stories/2022/08/the-importance-of-securing-healthcare-data/</w:t>
        </w:r>
      </w:hyperlink>
      <w:r w:rsidRPr="009600DE">
        <w:rPr>
          <w:rFonts w:asciiTheme="majorBidi" w:hAnsiTheme="majorBidi" w:cstheme="majorBidi"/>
        </w:rPr>
        <w:t xml:space="preserve"> [Accessed 3 January 2025].</w:t>
      </w:r>
    </w:p>
    <w:p w14:paraId="74FA2DC4"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NHS Digital (2024) ‘Protecting patient data.’ Available from: </w:t>
      </w:r>
      <w:hyperlink r:id="rId20" w:tgtFrame="_new" w:history="1">
        <w:r w:rsidRPr="009600DE">
          <w:rPr>
            <w:rStyle w:val="Hyperlink"/>
            <w:rFonts w:asciiTheme="majorBidi" w:hAnsiTheme="majorBidi" w:cstheme="majorBidi"/>
          </w:rPr>
          <w:t>https://digital.nhs.uk/services/national-data-opt-out/understanding-the-national-data-opt-out/protecting-patient-data</w:t>
        </w:r>
      </w:hyperlink>
      <w:r w:rsidRPr="009600DE">
        <w:rPr>
          <w:rFonts w:asciiTheme="majorBidi" w:hAnsiTheme="majorBidi" w:cstheme="majorBidi"/>
        </w:rPr>
        <w:t xml:space="preserve"> [Accessed 24 January 2025].</w:t>
      </w:r>
    </w:p>
    <w:p w14:paraId="3CBA9E1B"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Kumar, M., Raj, H., Chaurasia, N. and Gill, S.S. (2023) ‘Blockchain inspired secure and reliable data exchange architecture for cyber-physical healthcare system 4.0.’ </w:t>
      </w:r>
      <w:proofErr w:type="spellStart"/>
      <w:r w:rsidRPr="009600DE">
        <w:rPr>
          <w:rFonts w:asciiTheme="majorBidi" w:hAnsiTheme="majorBidi" w:cstheme="majorBidi"/>
          <w:i/>
          <w:iCs/>
        </w:rPr>
        <w:t>arXiv</w:t>
      </w:r>
      <w:proofErr w:type="spellEnd"/>
      <w:r w:rsidRPr="009600DE">
        <w:rPr>
          <w:rFonts w:asciiTheme="majorBidi" w:hAnsiTheme="majorBidi" w:cstheme="majorBidi"/>
          <w:i/>
          <w:iCs/>
        </w:rPr>
        <w:t xml:space="preserve"> preprint arXiv:2307.13603</w:t>
      </w:r>
      <w:r w:rsidRPr="009600DE">
        <w:rPr>
          <w:rFonts w:asciiTheme="majorBidi" w:hAnsiTheme="majorBidi" w:cstheme="majorBidi"/>
        </w:rPr>
        <w:t xml:space="preserve">. Available from: </w:t>
      </w:r>
      <w:hyperlink r:id="rId21" w:tgtFrame="_new" w:history="1">
        <w:r w:rsidRPr="009600DE">
          <w:rPr>
            <w:rStyle w:val="Hyperlink"/>
            <w:rFonts w:asciiTheme="majorBidi" w:hAnsiTheme="majorBidi" w:cstheme="majorBidi"/>
          </w:rPr>
          <w:t>https://arxiv.org/abs/2307.13603</w:t>
        </w:r>
      </w:hyperlink>
      <w:r w:rsidRPr="009600DE">
        <w:rPr>
          <w:rFonts w:asciiTheme="majorBidi" w:hAnsiTheme="majorBidi" w:cstheme="majorBidi"/>
        </w:rPr>
        <w:t xml:space="preserve"> [Accessed 3 January 2025].</w:t>
      </w:r>
    </w:p>
    <w:p w14:paraId="5E504CD8" w14:textId="77777777" w:rsidR="0098350F" w:rsidRPr="009600DE" w:rsidRDefault="0098350F" w:rsidP="00582A19">
      <w:pPr>
        <w:pStyle w:val="Heading2"/>
      </w:pPr>
    </w:p>
    <w:p w14:paraId="1F942AE4" w14:textId="3354CF2D" w:rsidR="00474163" w:rsidRPr="009600DE" w:rsidRDefault="00474163" w:rsidP="00215DC2">
      <w:pPr>
        <w:rPr>
          <w:rFonts w:asciiTheme="majorBidi" w:hAnsiTheme="majorBidi" w:cstheme="majorBidi"/>
        </w:rPr>
      </w:pPr>
    </w:p>
    <w:sectPr w:rsidR="00474163" w:rsidRPr="009600DE"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0933B" w14:textId="77777777" w:rsidR="005919EF" w:rsidRDefault="005919EF" w:rsidP="00710F55">
      <w:pPr>
        <w:spacing w:after="0" w:line="240" w:lineRule="auto"/>
      </w:pPr>
      <w:r>
        <w:separator/>
      </w:r>
    </w:p>
  </w:endnote>
  <w:endnote w:type="continuationSeparator" w:id="0">
    <w:p w14:paraId="70C5C5CE" w14:textId="77777777" w:rsidR="005919EF" w:rsidRDefault="005919EF"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F5BFF" w14:textId="77777777" w:rsidR="005919EF" w:rsidRDefault="005919EF" w:rsidP="00710F55">
      <w:pPr>
        <w:spacing w:after="0" w:line="240" w:lineRule="auto"/>
      </w:pPr>
      <w:r>
        <w:separator/>
      </w:r>
    </w:p>
  </w:footnote>
  <w:footnote w:type="continuationSeparator" w:id="0">
    <w:p w14:paraId="10831239" w14:textId="77777777" w:rsidR="005919EF" w:rsidRDefault="005919EF"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72A08"/>
    <w:multiLevelType w:val="multilevel"/>
    <w:tmpl w:val="4E3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2B12"/>
    <w:multiLevelType w:val="multilevel"/>
    <w:tmpl w:val="FB50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21D68"/>
    <w:multiLevelType w:val="multilevel"/>
    <w:tmpl w:val="BEE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A02934"/>
    <w:multiLevelType w:val="multilevel"/>
    <w:tmpl w:val="EEC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0F3F0D"/>
    <w:multiLevelType w:val="multilevel"/>
    <w:tmpl w:val="492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BB5830"/>
    <w:multiLevelType w:val="multilevel"/>
    <w:tmpl w:val="02C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52E43"/>
    <w:multiLevelType w:val="multilevel"/>
    <w:tmpl w:val="152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87688E"/>
    <w:multiLevelType w:val="multilevel"/>
    <w:tmpl w:val="CA5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34166E"/>
    <w:multiLevelType w:val="multilevel"/>
    <w:tmpl w:val="53A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5459AB"/>
    <w:multiLevelType w:val="multilevel"/>
    <w:tmpl w:val="670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76606261">
    <w:abstractNumId w:val="15"/>
  </w:num>
  <w:num w:numId="2" w16cid:durableId="11151656">
    <w:abstractNumId w:val="0"/>
  </w:num>
  <w:num w:numId="3" w16cid:durableId="824469925">
    <w:abstractNumId w:val="17"/>
  </w:num>
  <w:num w:numId="4" w16cid:durableId="785581270">
    <w:abstractNumId w:val="29"/>
  </w:num>
  <w:num w:numId="5" w16cid:durableId="431557140">
    <w:abstractNumId w:val="13"/>
  </w:num>
  <w:num w:numId="6" w16cid:durableId="222445805">
    <w:abstractNumId w:val="9"/>
  </w:num>
  <w:num w:numId="7" w16cid:durableId="376584283">
    <w:abstractNumId w:val="30"/>
  </w:num>
  <w:num w:numId="8" w16cid:durableId="2006518325">
    <w:abstractNumId w:val="31"/>
  </w:num>
  <w:num w:numId="9" w16cid:durableId="888229165">
    <w:abstractNumId w:val="11"/>
  </w:num>
  <w:num w:numId="10" w16cid:durableId="208416626">
    <w:abstractNumId w:val="8"/>
  </w:num>
  <w:num w:numId="11" w16cid:durableId="1598362168">
    <w:abstractNumId w:val="25"/>
  </w:num>
  <w:num w:numId="12" w16cid:durableId="1104494433">
    <w:abstractNumId w:val="27"/>
  </w:num>
  <w:num w:numId="13" w16cid:durableId="95254488">
    <w:abstractNumId w:val="16"/>
  </w:num>
  <w:num w:numId="14" w16cid:durableId="319650913">
    <w:abstractNumId w:val="20"/>
  </w:num>
  <w:num w:numId="15" w16cid:durableId="1477140168">
    <w:abstractNumId w:val="12"/>
  </w:num>
  <w:num w:numId="16" w16cid:durableId="912936796">
    <w:abstractNumId w:val="5"/>
  </w:num>
  <w:num w:numId="17" w16cid:durableId="680399170">
    <w:abstractNumId w:val="10"/>
  </w:num>
  <w:num w:numId="18" w16cid:durableId="1485194880">
    <w:abstractNumId w:val="22"/>
  </w:num>
  <w:num w:numId="19" w16cid:durableId="458451643">
    <w:abstractNumId w:val="24"/>
  </w:num>
  <w:num w:numId="20" w16cid:durableId="516430347">
    <w:abstractNumId w:val="6"/>
  </w:num>
  <w:num w:numId="21" w16cid:durableId="484014133">
    <w:abstractNumId w:val="1"/>
  </w:num>
  <w:num w:numId="22" w16cid:durableId="2063365561">
    <w:abstractNumId w:val="26"/>
  </w:num>
  <w:num w:numId="23" w16cid:durableId="715274775">
    <w:abstractNumId w:val="28"/>
  </w:num>
  <w:num w:numId="24" w16cid:durableId="677119291">
    <w:abstractNumId w:val="14"/>
  </w:num>
  <w:num w:numId="25" w16cid:durableId="1950775584">
    <w:abstractNumId w:val="21"/>
  </w:num>
  <w:num w:numId="26" w16cid:durableId="1367022797">
    <w:abstractNumId w:val="4"/>
  </w:num>
  <w:num w:numId="27" w16cid:durableId="1131509347">
    <w:abstractNumId w:val="2"/>
  </w:num>
  <w:num w:numId="28" w16cid:durableId="1843738779">
    <w:abstractNumId w:val="18"/>
  </w:num>
  <w:num w:numId="29" w16cid:durableId="508980735">
    <w:abstractNumId w:val="19"/>
  </w:num>
  <w:num w:numId="30" w16cid:durableId="286398318">
    <w:abstractNumId w:val="3"/>
  </w:num>
  <w:num w:numId="31" w16cid:durableId="87897672">
    <w:abstractNumId w:val="7"/>
  </w:num>
  <w:num w:numId="32" w16cid:durableId="30920990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608A0"/>
    <w:rsid w:val="000610D7"/>
    <w:rsid w:val="000658AF"/>
    <w:rsid w:val="00066079"/>
    <w:rsid w:val="000729D4"/>
    <w:rsid w:val="00073697"/>
    <w:rsid w:val="00085A25"/>
    <w:rsid w:val="000866D3"/>
    <w:rsid w:val="000869EF"/>
    <w:rsid w:val="0009024B"/>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FCE"/>
    <w:rsid w:val="00114396"/>
    <w:rsid w:val="001200E2"/>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82329"/>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3999"/>
    <w:rsid w:val="001D4737"/>
    <w:rsid w:val="001D7F2D"/>
    <w:rsid w:val="001E2425"/>
    <w:rsid w:val="001E3350"/>
    <w:rsid w:val="001E6D19"/>
    <w:rsid w:val="001E6DAA"/>
    <w:rsid w:val="001F039E"/>
    <w:rsid w:val="001F109B"/>
    <w:rsid w:val="001F5A78"/>
    <w:rsid w:val="001F638D"/>
    <w:rsid w:val="002023AF"/>
    <w:rsid w:val="00202DF7"/>
    <w:rsid w:val="00205046"/>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E7F"/>
    <w:rsid w:val="00295949"/>
    <w:rsid w:val="002A1E63"/>
    <w:rsid w:val="002A631C"/>
    <w:rsid w:val="002A636B"/>
    <w:rsid w:val="002B0762"/>
    <w:rsid w:val="002B2DF0"/>
    <w:rsid w:val="002B2EBD"/>
    <w:rsid w:val="002B36CD"/>
    <w:rsid w:val="002B5A85"/>
    <w:rsid w:val="002B61F1"/>
    <w:rsid w:val="002C0F90"/>
    <w:rsid w:val="002C12FB"/>
    <w:rsid w:val="002C57FD"/>
    <w:rsid w:val="002D3ED8"/>
    <w:rsid w:val="002D43E9"/>
    <w:rsid w:val="002D4B67"/>
    <w:rsid w:val="002D5EC3"/>
    <w:rsid w:val="002E4A47"/>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28E1"/>
    <w:rsid w:val="0033730E"/>
    <w:rsid w:val="00340366"/>
    <w:rsid w:val="00341D14"/>
    <w:rsid w:val="00342D3C"/>
    <w:rsid w:val="00344606"/>
    <w:rsid w:val="003448E1"/>
    <w:rsid w:val="00344D6F"/>
    <w:rsid w:val="0035291F"/>
    <w:rsid w:val="00354537"/>
    <w:rsid w:val="003551B4"/>
    <w:rsid w:val="00355619"/>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A4B3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536FF"/>
    <w:rsid w:val="00555220"/>
    <w:rsid w:val="0056005E"/>
    <w:rsid w:val="00561447"/>
    <w:rsid w:val="0056184E"/>
    <w:rsid w:val="00562831"/>
    <w:rsid w:val="00563BEA"/>
    <w:rsid w:val="00572355"/>
    <w:rsid w:val="005777FF"/>
    <w:rsid w:val="005820F4"/>
    <w:rsid w:val="00582A19"/>
    <w:rsid w:val="005868CA"/>
    <w:rsid w:val="005919EF"/>
    <w:rsid w:val="00592285"/>
    <w:rsid w:val="005923BD"/>
    <w:rsid w:val="005961C4"/>
    <w:rsid w:val="00597317"/>
    <w:rsid w:val="005A5D49"/>
    <w:rsid w:val="005B4775"/>
    <w:rsid w:val="005B568C"/>
    <w:rsid w:val="005B61A7"/>
    <w:rsid w:val="005C0824"/>
    <w:rsid w:val="005C2FAF"/>
    <w:rsid w:val="005C5693"/>
    <w:rsid w:val="005D042C"/>
    <w:rsid w:val="005D0DAB"/>
    <w:rsid w:val="005D11CC"/>
    <w:rsid w:val="005D6511"/>
    <w:rsid w:val="005E1197"/>
    <w:rsid w:val="005E33CA"/>
    <w:rsid w:val="005E5477"/>
    <w:rsid w:val="005F101F"/>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092"/>
    <w:rsid w:val="006524A7"/>
    <w:rsid w:val="00653346"/>
    <w:rsid w:val="00653E5D"/>
    <w:rsid w:val="00660917"/>
    <w:rsid w:val="006614F8"/>
    <w:rsid w:val="0066154E"/>
    <w:rsid w:val="0066249A"/>
    <w:rsid w:val="00670C89"/>
    <w:rsid w:val="00672DAF"/>
    <w:rsid w:val="00674B2D"/>
    <w:rsid w:val="006773E6"/>
    <w:rsid w:val="00677DDA"/>
    <w:rsid w:val="00681CD0"/>
    <w:rsid w:val="00683BCD"/>
    <w:rsid w:val="006848E3"/>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C0A"/>
    <w:rsid w:val="00755878"/>
    <w:rsid w:val="00756C5C"/>
    <w:rsid w:val="00761A13"/>
    <w:rsid w:val="00761EC4"/>
    <w:rsid w:val="00764CE8"/>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3744"/>
    <w:rsid w:val="00834BC9"/>
    <w:rsid w:val="00835624"/>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42F92"/>
    <w:rsid w:val="0094747D"/>
    <w:rsid w:val="00951E6B"/>
    <w:rsid w:val="00953AB9"/>
    <w:rsid w:val="00953CF1"/>
    <w:rsid w:val="009600DE"/>
    <w:rsid w:val="00962C8D"/>
    <w:rsid w:val="009653BB"/>
    <w:rsid w:val="00965564"/>
    <w:rsid w:val="00974F08"/>
    <w:rsid w:val="009750DD"/>
    <w:rsid w:val="00975990"/>
    <w:rsid w:val="0098100E"/>
    <w:rsid w:val="009824EE"/>
    <w:rsid w:val="0098350F"/>
    <w:rsid w:val="00985120"/>
    <w:rsid w:val="00985BB3"/>
    <w:rsid w:val="009863D4"/>
    <w:rsid w:val="00990F5B"/>
    <w:rsid w:val="00991BC0"/>
    <w:rsid w:val="009958B3"/>
    <w:rsid w:val="00995F44"/>
    <w:rsid w:val="0099622E"/>
    <w:rsid w:val="009A1270"/>
    <w:rsid w:val="009B0392"/>
    <w:rsid w:val="009B2A80"/>
    <w:rsid w:val="009B6F64"/>
    <w:rsid w:val="009B7B54"/>
    <w:rsid w:val="009C2932"/>
    <w:rsid w:val="009C2B6D"/>
    <w:rsid w:val="009C5560"/>
    <w:rsid w:val="009C5806"/>
    <w:rsid w:val="009D2F27"/>
    <w:rsid w:val="009E0FCD"/>
    <w:rsid w:val="009F0AC3"/>
    <w:rsid w:val="009F0CA3"/>
    <w:rsid w:val="00A00BC1"/>
    <w:rsid w:val="00A021AC"/>
    <w:rsid w:val="00A04768"/>
    <w:rsid w:val="00A071A4"/>
    <w:rsid w:val="00A074AF"/>
    <w:rsid w:val="00A115D3"/>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62572"/>
    <w:rsid w:val="00A703B2"/>
    <w:rsid w:val="00A70BDD"/>
    <w:rsid w:val="00A755BE"/>
    <w:rsid w:val="00A76ECC"/>
    <w:rsid w:val="00A779E8"/>
    <w:rsid w:val="00A77D1D"/>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0CC1"/>
    <w:rsid w:val="00AF1C60"/>
    <w:rsid w:val="00B04CCF"/>
    <w:rsid w:val="00B26D8A"/>
    <w:rsid w:val="00B31C6E"/>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92C"/>
    <w:rsid w:val="00BB5D3E"/>
    <w:rsid w:val="00BC0187"/>
    <w:rsid w:val="00BC228D"/>
    <w:rsid w:val="00BC2E8E"/>
    <w:rsid w:val="00BD2B0C"/>
    <w:rsid w:val="00BD5BF8"/>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445B"/>
    <w:rsid w:val="00C3676F"/>
    <w:rsid w:val="00C40743"/>
    <w:rsid w:val="00C41242"/>
    <w:rsid w:val="00C42228"/>
    <w:rsid w:val="00C52B01"/>
    <w:rsid w:val="00C57150"/>
    <w:rsid w:val="00C64A14"/>
    <w:rsid w:val="00C65166"/>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D02E20"/>
    <w:rsid w:val="00D035BD"/>
    <w:rsid w:val="00D10E49"/>
    <w:rsid w:val="00D110AD"/>
    <w:rsid w:val="00D1505A"/>
    <w:rsid w:val="00D30100"/>
    <w:rsid w:val="00D33E66"/>
    <w:rsid w:val="00D430E1"/>
    <w:rsid w:val="00D44F30"/>
    <w:rsid w:val="00D50B28"/>
    <w:rsid w:val="00D51C67"/>
    <w:rsid w:val="00D5557A"/>
    <w:rsid w:val="00D6039F"/>
    <w:rsid w:val="00D617F0"/>
    <w:rsid w:val="00D74DB6"/>
    <w:rsid w:val="00D755E4"/>
    <w:rsid w:val="00D811A8"/>
    <w:rsid w:val="00D819B5"/>
    <w:rsid w:val="00D865D4"/>
    <w:rsid w:val="00D8792B"/>
    <w:rsid w:val="00D914E8"/>
    <w:rsid w:val="00D9324C"/>
    <w:rsid w:val="00DA2BAB"/>
    <w:rsid w:val="00DA5219"/>
    <w:rsid w:val="00DA67D4"/>
    <w:rsid w:val="00DA6B76"/>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704E2"/>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5387C"/>
    <w:rsid w:val="00F55367"/>
    <w:rsid w:val="00F5592C"/>
    <w:rsid w:val="00F55C9A"/>
    <w:rsid w:val="00F57A7D"/>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582A19"/>
    <w:pPr>
      <w:spacing w:before="100" w:beforeAutospacing="1" w:after="100" w:afterAutospacing="1" w:line="240" w:lineRule="auto"/>
      <w:outlineLvl w:val="1"/>
    </w:pPr>
    <w:rPr>
      <w:rFonts w:asciiTheme="majorBidi" w:eastAsia="Times New Roman" w:hAnsiTheme="majorBidi" w:cstheme="majorBidi"/>
      <w:b/>
      <w:bCs/>
      <w:color w:val="1A9DAC"/>
      <w:sz w:val="36"/>
      <w:szCs w:val="36"/>
      <w:lang w:eastAsia="en-GB"/>
    </w:rPr>
  </w:style>
  <w:style w:type="paragraph" w:styleId="Heading3">
    <w:name w:val="heading 3"/>
    <w:basedOn w:val="Normal"/>
    <w:next w:val="Normal"/>
    <w:link w:val="Heading3Char"/>
    <w:uiPriority w:val="9"/>
    <w:unhideWhenUsed/>
    <w:qFormat/>
    <w:rsid w:val="00582A19"/>
    <w:pPr>
      <w:keepNext/>
      <w:keepLines/>
      <w:spacing w:before="40" w:after="0"/>
      <w:outlineLvl w:val="2"/>
    </w:pPr>
    <w:rPr>
      <w:rFonts w:asciiTheme="majorBidi" w:eastAsia="Times New Roman" w:hAnsiTheme="majorBidi" w:cstheme="majorBidi"/>
      <w:color w:val="1A9DAC"/>
      <w:sz w:val="32"/>
      <w:szCs w:val="32"/>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582A19"/>
    <w:rPr>
      <w:rFonts w:asciiTheme="majorBidi" w:eastAsia="Times New Roman" w:hAnsiTheme="majorBidi" w:cstheme="majorBidi"/>
      <w:b/>
      <w:bCs/>
      <w:color w:val="1A9DAC"/>
      <w:sz w:val="36"/>
      <w:szCs w:val="36"/>
      <w:lang w:eastAsia="en-GB"/>
    </w:rPr>
  </w:style>
  <w:style w:type="character" w:customStyle="1" w:styleId="Heading3Char">
    <w:name w:val="Heading 3 Char"/>
    <w:basedOn w:val="DefaultParagraphFont"/>
    <w:link w:val="Heading3"/>
    <w:uiPriority w:val="9"/>
    <w:rsid w:val="00582A19"/>
    <w:rPr>
      <w:rFonts w:asciiTheme="majorBidi" w:eastAsia="Times New Roman" w:hAnsiTheme="majorBidi" w:cstheme="majorBidi"/>
      <w:color w:val="1A9DAC"/>
      <w:sz w:val="32"/>
      <w:szCs w:val="32"/>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styleId="Strong">
    <w:name w:val="Strong"/>
    <w:basedOn w:val="DefaultParagraphFont"/>
    <w:uiPriority w:val="22"/>
    <w:qFormat/>
    <w:rsid w:val="00582A19"/>
    <w:rPr>
      <w:b/>
      <w:bCs/>
    </w:rPr>
  </w:style>
  <w:style w:type="paragraph" w:styleId="Quote">
    <w:name w:val="Quote"/>
    <w:basedOn w:val="Normal"/>
    <w:next w:val="Normal"/>
    <w:link w:val="QuoteChar"/>
    <w:uiPriority w:val="29"/>
    <w:qFormat/>
    <w:rsid w:val="009B2A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A80"/>
    <w:rPr>
      <w:i/>
      <w:iCs/>
      <w:color w:val="404040" w:themeColor="text1" w:themeTint="BF"/>
    </w:rPr>
  </w:style>
  <w:style w:type="paragraph" w:styleId="IntenseQuote">
    <w:name w:val="Intense Quote"/>
    <w:basedOn w:val="Normal"/>
    <w:next w:val="Normal"/>
    <w:link w:val="IntenseQuoteChar"/>
    <w:uiPriority w:val="30"/>
    <w:qFormat/>
    <w:rsid w:val="009B2A80"/>
    <w:pPr>
      <w:pBdr>
        <w:top w:val="single" w:sz="4" w:space="10" w:color="1A9DAC" w:themeColor="accent1"/>
        <w:bottom w:val="single" w:sz="4" w:space="10" w:color="1A9DAC" w:themeColor="accent1"/>
      </w:pBdr>
      <w:spacing w:before="360" w:after="360"/>
      <w:ind w:left="864" w:right="864"/>
      <w:jc w:val="center"/>
    </w:pPr>
    <w:rPr>
      <w:i/>
      <w:iCs/>
      <w:color w:val="1A9DAC" w:themeColor="accent1"/>
    </w:rPr>
  </w:style>
  <w:style w:type="character" w:customStyle="1" w:styleId="IntenseQuoteChar">
    <w:name w:val="Intense Quote Char"/>
    <w:basedOn w:val="DefaultParagraphFont"/>
    <w:link w:val="IntenseQuote"/>
    <w:uiPriority w:val="30"/>
    <w:rsid w:val="009B2A80"/>
    <w:rPr>
      <w:i/>
      <w:iCs/>
      <w:color w:val="1A9DA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728961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09154788">
      <w:bodyDiv w:val="1"/>
      <w:marLeft w:val="0"/>
      <w:marRight w:val="0"/>
      <w:marTop w:val="0"/>
      <w:marBottom w:val="0"/>
      <w:divBdr>
        <w:top w:val="none" w:sz="0" w:space="0" w:color="auto"/>
        <w:left w:val="none" w:sz="0" w:space="0" w:color="auto"/>
        <w:bottom w:val="none" w:sz="0" w:space="0" w:color="auto"/>
        <w:right w:val="none" w:sz="0" w:space="0" w:color="auto"/>
      </w:divBdr>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36229366">
      <w:bodyDiv w:val="1"/>
      <w:marLeft w:val="0"/>
      <w:marRight w:val="0"/>
      <w:marTop w:val="0"/>
      <w:marBottom w:val="0"/>
      <w:divBdr>
        <w:top w:val="none" w:sz="0" w:space="0" w:color="auto"/>
        <w:left w:val="none" w:sz="0" w:space="0" w:color="auto"/>
        <w:bottom w:val="none" w:sz="0" w:space="0" w:color="auto"/>
        <w:right w:val="none" w:sz="0" w:space="0" w:color="auto"/>
      </w:divBdr>
    </w:div>
    <w:div w:id="360976468">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56555035">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671030886">
      <w:bodyDiv w:val="1"/>
      <w:marLeft w:val="0"/>
      <w:marRight w:val="0"/>
      <w:marTop w:val="0"/>
      <w:marBottom w:val="0"/>
      <w:divBdr>
        <w:top w:val="none" w:sz="0" w:space="0" w:color="auto"/>
        <w:left w:val="none" w:sz="0" w:space="0" w:color="auto"/>
        <w:bottom w:val="none" w:sz="0" w:space="0" w:color="auto"/>
        <w:right w:val="none" w:sz="0" w:space="0" w:color="auto"/>
      </w:divBdr>
    </w:div>
    <w:div w:id="711730645">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35269880">
      <w:bodyDiv w:val="1"/>
      <w:marLeft w:val="0"/>
      <w:marRight w:val="0"/>
      <w:marTop w:val="0"/>
      <w:marBottom w:val="0"/>
      <w:divBdr>
        <w:top w:val="none" w:sz="0" w:space="0" w:color="auto"/>
        <w:left w:val="none" w:sz="0" w:space="0" w:color="auto"/>
        <w:bottom w:val="none" w:sz="0" w:space="0" w:color="auto"/>
        <w:right w:val="none" w:sz="0" w:space="0" w:color="auto"/>
      </w:divBdr>
    </w:div>
    <w:div w:id="896210887">
      <w:bodyDiv w:val="1"/>
      <w:marLeft w:val="0"/>
      <w:marRight w:val="0"/>
      <w:marTop w:val="0"/>
      <w:marBottom w:val="0"/>
      <w:divBdr>
        <w:top w:val="none" w:sz="0" w:space="0" w:color="auto"/>
        <w:left w:val="none" w:sz="0" w:space="0" w:color="auto"/>
        <w:bottom w:val="none" w:sz="0" w:space="0" w:color="auto"/>
        <w:right w:val="none" w:sz="0" w:space="0" w:color="auto"/>
      </w:divBdr>
    </w:div>
    <w:div w:id="905797741">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56440585">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046623">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22626160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15398756">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497644821">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23126187">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76012482">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03773692">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times.co.uk/article/healthhero-xhk7r23lb" TargetMode="External"/><Relationship Id="rId18" Type="http://schemas.openxmlformats.org/officeDocument/2006/relationships/hyperlink" Target="https://www.england.nhs.uk/long-read/data-and-clinical-record-sharing/" TargetMode="External"/><Relationship Id="rId3" Type="http://schemas.openxmlformats.org/officeDocument/2006/relationships/numbering" Target="numbering.xml"/><Relationship Id="rId21" Type="http://schemas.openxmlformats.org/officeDocument/2006/relationships/hyperlink" Target="https://arxiv.org/abs/2307.13603" TargetMode="External"/><Relationship Id="rId7" Type="http://schemas.openxmlformats.org/officeDocument/2006/relationships/footnotes" Target="footnotes.xml"/><Relationship Id="rId12" Type="http://schemas.openxmlformats.org/officeDocument/2006/relationships/hyperlink" Target="https://bmjopen.bmj.com/content/8/1/e016982" TargetMode="External"/><Relationship Id="rId17" Type="http://schemas.openxmlformats.org/officeDocument/2006/relationships/hyperlink" Target="https://www.england.nhs.uk/digitaltechnology/" TargetMode="External"/><Relationship Id="rId2" Type="http://schemas.openxmlformats.org/officeDocument/2006/relationships/customXml" Target="../customXml/item2.xml"/><Relationship Id="rId16" Type="http://schemas.openxmlformats.org/officeDocument/2006/relationships/hyperlink" Target="https://www.signatureperformance.com/post/the-importance-of-accurate-patient-scheduling-in-healthcare" TargetMode="External"/><Relationship Id="rId20" Type="http://schemas.openxmlformats.org/officeDocument/2006/relationships/hyperlink" Target="https://digital.nhs.uk/services/national-data-opt-out/understanding-the-national-data-opt-out/protecting-patient-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who.int/health-topics/digital-health"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weforum.org/stories/2022/08/the-importance-of-securing-healthcare-dat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kingsfund.org.uk/insight-and-analysis/reports/digital-change-health-social-ca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ahmed amr</cp:lastModifiedBy>
  <cp:revision>14</cp:revision>
  <cp:lastPrinted>2021-04-24T13:52:00Z</cp:lastPrinted>
  <dcterms:created xsi:type="dcterms:W3CDTF">2025-01-24T04:52:00Z</dcterms:created>
  <dcterms:modified xsi:type="dcterms:W3CDTF">2025-01-25T07:58:00Z</dcterms:modified>
</cp:coreProperties>
</file>