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CSS Layout Float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this example, we have created a header, two columns/boxes and a footer. On smaller screens, the columns will stack on top of each other.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Resize the browser window to see the responsive effect (you will learn more about this in our next chapter - HTML Responsive.)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Cities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bnljxoanfpj3">
        <w:r w:rsidDel="00000000" w:rsidR="00000000" w:rsidRPr="00000000">
          <w:rPr>
            <w:color w:val="0000ee"/>
            <w:u w:val="single"/>
            <w:rtl w:val="0"/>
          </w:rPr>
          <w:t xml:space="preserve">London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bnljxoanfpj3">
        <w:r w:rsidDel="00000000" w:rsidR="00000000" w:rsidRPr="00000000">
          <w:rPr>
            <w:color w:val="0000ee"/>
            <w:u w:val="single"/>
            <w:rtl w:val="0"/>
          </w:rPr>
          <w:t xml:space="preserve">Paris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bnljxoanfpj3">
        <w:r w:rsidDel="00000000" w:rsidR="00000000" w:rsidRPr="00000000">
          <w:rPr>
            <w:color w:val="0000ee"/>
            <w:u w:val="single"/>
            <w:rtl w:val="0"/>
          </w:rPr>
          <w:t xml:space="preserve">Tokyo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London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London is the capital city of England. It is the most populous city in the United Kingdom, with a metropolitan area of over 13 million inhabitants.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Standing on the River Thames, London has been a major settlement for two millennia, its history going back to its founding by the Romans, who named it Londinium.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Footer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