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第一章　理論框架與歷史脈絡（擴充版）</w:t>
      </w:r>
    </w:p>
    <w:p>
      <w:pPr>
        <w:pStyle w:val="Heading2"/>
      </w:pPr>
      <w:r>
        <w:t>1.1 阿根廷匯率制度的歷史演變</w:t>
      </w:r>
    </w:p>
    <w:p>
      <w:pPr>
        <w:spacing w:line="360" w:lineRule="auto"/>
      </w:pPr>
      <w:r>
        <w:t>自 20 世紀初以來，阿根廷的匯率制度經歷了多次重大轉折，反映其在開放經濟環境下追求穩定與成長的結構性矛盾。20 世紀 70 年代，阿根廷實施匯率錨定政策以控制通膨，但因財政赤字與外債擴張最終導致比索暴貶。1991 年的貨幣委員會制度（Convertibility Plan）實現美元與披索 1:1 兌換，成功抑制惡性通膨，但隨著外部融資成本上升與出口競爭力喪失，2001 年金融危機爆發，制度崩潰。此後，阿根廷轉向浮動匯率與強干預並行的「半管制體系」，形成反覆的「貶值—干預—再貶值」循環。</w:t>
      </w:r>
    </w:p>
    <w:p>
      <w:pPr>
        <w:pStyle w:val="Heading2"/>
      </w:pPr>
      <w:r>
        <w:t>1.2 理論基礎：蒙代爾–弗萊明模型與三元不可能原則</w:t>
      </w:r>
    </w:p>
    <w:p>
      <w:pPr>
        <w:spacing w:line="360" w:lineRule="auto"/>
      </w:pPr>
      <w:r>
        <w:t>蒙代爾–弗萊明模型（Mundell–Fleming Model）指出，一個開放經濟體無法同時維持資本自由流動、固定匯率與獨立貨幣政策，三者必居其二。阿根廷在 1990 年代選擇固定匯率與資本自由流動，導致貨幣政策失效；而在 2000 年代之後，選擇貨幣政策與資本管制，卻失去吸引外資的能力。這種政策選擇的不穩定性，使阿根廷長期陷於「政策三角困境」之中。</w:t>
        <w:br/>
        <w:t>此外，費雪效應（Fisher Effect）指出名目利率與通膨預期的關聯。當市場對通膨預期上升時，即使央行提高利率，實質利率仍可能為負，造成資本外流與貨幣貶值。這正是阿根廷央行歷次升息仍難以抑制通膨的理論解釋。</w:t>
      </w:r>
    </w:p>
    <w:p>
      <w:pPr>
        <w:pStyle w:val="Heading2"/>
      </w:pPr>
      <w:r>
        <w:t>1.3 政策信任與通膨預期理論</w:t>
      </w:r>
    </w:p>
    <w:p>
      <w:pPr>
        <w:spacing w:line="360" w:lineRule="auto"/>
      </w:pPr>
      <w:r>
        <w:t>阿根廷的通膨問題不僅是貨幣供給過度，更反映政策信任的缺失。根據理性預期理論（Rational Expectations Theory），若民眾預期政府最終會再度以通膨化解債務，則即使短期緊縮政策也難以改變長期通膨預期。這種信任赤字導致貨幣替代現象（currency substitution），民眾以美元儲值、以披索消費，使得貨幣流通速度上升、政策效果遞減。通膨的持續化因此不僅是經濟現象，更是制度性信任危機。</w:t>
      </w:r>
    </w:p>
    <w:p>
      <w:pPr>
        <w:pStyle w:val="Heading2"/>
      </w:pPr>
      <w:r>
        <w:t>✳️ 第一章章末綜合評述</w:t>
      </w:r>
    </w:p>
    <w:p>
      <w:pPr>
        <w:spacing w:line="360" w:lineRule="auto"/>
      </w:pPr>
      <w:r>
        <w:t>總體而言，阿根廷的匯率與通膨困境源於制度選擇與信任缺口的雙重結構。歷史經驗顯示，單一匯率制度難以長期維持，而政策可信度的缺乏使得每一次改革最終都陷入惡性循環。從理論層面看，唯有在建立穩定財政紀律與貨幣信任的前提下，阿根廷才能實現真正的匯率穩定與經濟復甦。</w:t>
      </w:r>
    </w:p>
    <w:p>
      <w:r>
        <w:br w:type="page"/>
      </w:r>
    </w:p>
    <w:p>
      <w:pPr>
        <w:pStyle w:val="Heading2"/>
      </w:pPr>
      <w:r>
        <w:t>表一　阿根廷主要匯率制度演變與結果（1970–2025）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時期</w:t>
            </w:r>
          </w:p>
        </w:tc>
        <w:tc>
          <w:tcPr>
            <w:tcW w:type="dxa" w:w="2160"/>
          </w:tcPr>
          <w:p>
            <w:r>
              <w:t>主要匯率制度</w:t>
            </w:r>
          </w:p>
        </w:tc>
        <w:tc>
          <w:tcPr>
            <w:tcW w:type="dxa" w:w="2160"/>
          </w:tcPr>
          <w:p>
            <w:r>
              <w:t>政策特徵</w:t>
            </w:r>
          </w:p>
        </w:tc>
        <w:tc>
          <w:tcPr>
            <w:tcW w:type="dxa" w:w="2160"/>
          </w:tcPr>
          <w:p>
            <w:r>
              <w:t>結果</w:t>
            </w:r>
          </w:p>
        </w:tc>
      </w:tr>
      <w:tr>
        <w:tc>
          <w:tcPr>
            <w:tcW w:type="dxa" w:w="2160"/>
          </w:tcPr>
          <w:p>
            <w:r>
              <w:t>1970–1989</w:t>
            </w:r>
          </w:p>
        </w:tc>
        <w:tc>
          <w:tcPr>
            <w:tcW w:type="dxa" w:w="2160"/>
          </w:tcPr>
          <w:p>
            <w:r>
              <w:t>固定匯率與多重管制</w:t>
            </w:r>
          </w:p>
        </w:tc>
        <w:tc>
          <w:tcPr>
            <w:tcW w:type="dxa" w:w="2160"/>
          </w:tcPr>
          <w:p>
            <w:r>
              <w:t>匯率凍結抑制物價但引發外債暴增</w:t>
            </w:r>
          </w:p>
        </w:tc>
        <w:tc>
          <w:tcPr>
            <w:tcW w:type="dxa" w:w="2160"/>
          </w:tcPr>
          <w:p>
            <w:r>
              <w:t>惡性通膨爆發</w:t>
            </w:r>
          </w:p>
        </w:tc>
      </w:tr>
      <w:tr>
        <w:tc>
          <w:tcPr>
            <w:tcW w:type="dxa" w:w="2160"/>
          </w:tcPr>
          <w:p>
            <w:r>
              <w:t>1991–2001</w:t>
            </w:r>
          </w:p>
        </w:tc>
        <w:tc>
          <w:tcPr>
            <w:tcW w:type="dxa" w:w="2160"/>
          </w:tcPr>
          <w:p>
            <w:r>
              <w:t>貨幣委員會制度（1:1）</w:t>
            </w:r>
          </w:p>
        </w:tc>
        <w:tc>
          <w:tcPr>
            <w:tcW w:type="dxa" w:w="2160"/>
          </w:tcPr>
          <w:p>
            <w:r>
              <w:t>美元掛鉤制度消除通膨</w:t>
            </w:r>
          </w:p>
        </w:tc>
        <w:tc>
          <w:tcPr>
            <w:tcW w:type="dxa" w:w="2160"/>
          </w:tcPr>
          <w:p>
            <w:r>
              <w:t>外債高漲、出口萎縮、金融危機</w:t>
            </w:r>
          </w:p>
        </w:tc>
      </w:tr>
      <w:tr>
        <w:tc>
          <w:tcPr>
            <w:tcW w:type="dxa" w:w="2160"/>
          </w:tcPr>
          <w:p>
            <w:r>
              <w:t>2002–2015</w:t>
            </w:r>
          </w:p>
        </w:tc>
        <w:tc>
          <w:tcPr>
            <w:tcW w:type="dxa" w:w="2160"/>
          </w:tcPr>
          <w:p>
            <w:r>
              <w:t>浮動匯率＋資本管制</w:t>
            </w:r>
          </w:p>
        </w:tc>
        <w:tc>
          <w:tcPr>
            <w:tcW w:type="dxa" w:w="2160"/>
          </w:tcPr>
          <w:p>
            <w:r>
              <w:t>政府強干預與高補貼維持穩定</w:t>
            </w:r>
          </w:p>
        </w:tc>
        <w:tc>
          <w:tcPr>
            <w:tcW w:type="dxa" w:w="2160"/>
          </w:tcPr>
          <w:p>
            <w:r>
              <w:t>外儲減少、黑市匯率擴大</w:t>
            </w:r>
          </w:p>
        </w:tc>
      </w:tr>
      <w:tr>
        <w:tc>
          <w:tcPr>
            <w:tcW w:type="dxa" w:w="2160"/>
          </w:tcPr>
          <w:p>
            <w:r>
              <w:t>2016–2019</w:t>
            </w:r>
          </w:p>
        </w:tc>
        <w:tc>
          <w:tcPr>
            <w:tcW w:type="dxa" w:w="2160"/>
          </w:tcPr>
          <w:p>
            <w:r>
              <w:t>市場化匯率</w:t>
            </w:r>
          </w:p>
        </w:tc>
        <w:tc>
          <w:tcPr>
            <w:tcW w:type="dxa" w:w="2160"/>
          </w:tcPr>
          <w:p>
            <w:r>
              <w:t>資本自由化與外債融資</w:t>
            </w:r>
          </w:p>
        </w:tc>
        <w:tc>
          <w:tcPr>
            <w:tcW w:type="dxa" w:w="2160"/>
          </w:tcPr>
          <w:p>
            <w:r>
              <w:t>短期穩定、長期再危機</w:t>
            </w:r>
          </w:p>
        </w:tc>
      </w:tr>
      <w:tr>
        <w:tc>
          <w:tcPr>
            <w:tcW w:type="dxa" w:w="2160"/>
          </w:tcPr>
          <w:p>
            <w:r>
              <w:t>2020–2025</w:t>
            </w:r>
          </w:p>
        </w:tc>
        <w:tc>
          <w:tcPr>
            <w:tcW w:type="dxa" w:w="2160"/>
          </w:tcPr>
          <w:p>
            <w:r>
              <w:t>多重匯率與序貶制並行</w:t>
            </w:r>
          </w:p>
        </w:tc>
        <w:tc>
          <w:tcPr>
            <w:tcW w:type="dxa" w:w="2160"/>
          </w:tcPr>
          <w:p>
            <w:r>
              <w:t>平衡通膨控制與出口誘因</w:t>
            </w:r>
          </w:p>
        </w:tc>
        <w:tc>
          <w:tcPr>
            <w:tcW w:type="dxa" w:w="2160"/>
          </w:tcPr>
          <w:p>
            <w:r>
              <w:t>物價下降、社會代價高</w:t>
            </w:r>
          </w:p>
        </w:tc>
      </w:tr>
    </w:tbl>
    <w:p>
      <w:r>
        <w:br w:type="page"/>
      </w:r>
    </w:p>
    <w:p>
      <w:pPr>
        <w:pStyle w:val="Heading2"/>
      </w:pPr>
      <w:r>
        <w:t>表二　理論模型與政策困境對照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理論模型</w:t>
            </w:r>
          </w:p>
        </w:tc>
        <w:tc>
          <w:tcPr>
            <w:tcW w:type="dxa" w:w="2880"/>
          </w:tcPr>
          <w:p>
            <w:r>
              <w:t>阿根廷的對應情境</w:t>
            </w:r>
          </w:p>
        </w:tc>
        <w:tc>
          <w:tcPr>
            <w:tcW w:type="dxa" w:w="2880"/>
          </w:tcPr>
          <w:p>
            <w:r>
              <w:t>主要政策困境</w:t>
            </w:r>
          </w:p>
        </w:tc>
      </w:tr>
      <w:tr>
        <w:tc>
          <w:tcPr>
            <w:tcW w:type="dxa" w:w="2880"/>
          </w:tcPr>
          <w:p>
            <w:r>
              <w:t>蒙代爾–弗萊明模型</w:t>
            </w:r>
          </w:p>
        </w:tc>
        <w:tc>
          <w:tcPr>
            <w:tcW w:type="dxa" w:w="2880"/>
          </w:tcPr>
          <w:p>
            <w:r>
              <w:t>固定匯率與資本流動並存時失去貨幣自主權</w:t>
            </w:r>
          </w:p>
        </w:tc>
        <w:tc>
          <w:tcPr>
            <w:tcW w:type="dxa" w:w="2880"/>
          </w:tcPr>
          <w:p>
            <w:r>
              <w:t>通膨難以控制</w:t>
            </w:r>
          </w:p>
        </w:tc>
      </w:tr>
      <w:tr>
        <w:tc>
          <w:tcPr>
            <w:tcW w:type="dxa" w:w="2880"/>
          </w:tcPr>
          <w:p>
            <w:r>
              <w:t>費雪效應</w:t>
            </w:r>
          </w:p>
        </w:tc>
        <w:tc>
          <w:tcPr>
            <w:tcW w:type="dxa" w:w="2880"/>
          </w:tcPr>
          <w:p>
            <w:r>
              <w:t>高通膨導致名目利率失效</w:t>
            </w:r>
          </w:p>
        </w:tc>
        <w:tc>
          <w:tcPr>
            <w:tcW w:type="dxa" w:w="2880"/>
          </w:tcPr>
          <w:p>
            <w:r>
              <w:t>實質利率為負、資本外流</w:t>
            </w:r>
          </w:p>
        </w:tc>
      </w:tr>
      <w:tr>
        <w:tc>
          <w:tcPr>
            <w:tcW w:type="dxa" w:w="2880"/>
          </w:tcPr>
          <w:p>
            <w:r>
              <w:t>理性預期理論</w:t>
            </w:r>
          </w:p>
        </w:tc>
        <w:tc>
          <w:tcPr>
            <w:tcW w:type="dxa" w:w="2880"/>
          </w:tcPr>
          <w:p>
            <w:r>
              <w:t>民眾不信任政府財政承諾</w:t>
            </w:r>
          </w:p>
        </w:tc>
        <w:tc>
          <w:tcPr>
            <w:tcW w:type="dxa" w:w="2880"/>
          </w:tcPr>
          <w:p>
            <w:r>
              <w:t>政策可信度不足、通膨持續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