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第三章　政策成效：匯率、通膨、外儲與社會影響（綜合版）</w:t>
      </w:r>
    </w:p>
    <w:p>
      <w:pPr>
        <w:pStyle w:val="Heading2"/>
      </w:pPr>
      <w:r>
        <w:t>3.1 匯率趨勢與貨幣穩定度分析</w:t>
      </w:r>
    </w:p>
    <w:p>
      <w:pPr>
        <w:spacing w:line="360" w:lineRule="auto"/>
      </w:pPr>
      <w:r>
        <w:t>阿根廷在三任政府間的匯率走勢顯示其貨幣制度長期陷入結構性脆弱。馬克里政府初期放寬外匯限制，2015 至 2017 年披索相對穩定，但隨著外債增加與國際資金撤出，2018 年披索暴跌逾 50%。費爾南德斯時期為維穩市場而實施多重匯率制度，使官方與黑市匯率差距一度超過 100%。米雷伊政府上任後採取一次性貶值與序貶政策，將官方匯率調整至接近市場水平，短期內改善外儲流出並降低套利空間。2025 年上半年披索相對穩定在每美元 850 披索左右，但仍高度依賴外資信心與財政紀律維持。</w:t>
      </w:r>
    </w:p>
    <w:p>
      <w:pPr>
        <w:pStyle w:val="Heading2"/>
      </w:pPr>
      <w:r>
        <w:t>3.2 通膨與購買力變動</w:t>
      </w:r>
    </w:p>
    <w:p>
      <w:pPr>
        <w:spacing w:line="360" w:lineRule="auto"/>
      </w:pPr>
      <w:r>
        <w:t>通膨是阿根廷經濟最深層的結構性問題。2015–2019 年平均通膨率維持在 30–40%，馬克里雖實施高利率政策抑制物價，但因補貼削減與貨幣擴張並行，通膨未見改善。費爾南德斯時期在疫情與擴張財政下，2022 年通膨率突破 100%，民眾實質薪資縮水 25%。米雷伊政府強力緊縮開支與貨幣供應，使通膨於 2025 年降至約 30%，但消費需求與就業市場同步萎縮。通膨治理雖顯著改善宏觀穩定，卻對低所得階層造成實質生活壓力。</w:t>
      </w:r>
    </w:p>
    <w:p>
      <w:pPr>
        <w:pStyle w:val="Heading2"/>
      </w:pPr>
      <w:r>
        <w:t>3.3 外匯儲備與國際收支調整</w:t>
      </w:r>
    </w:p>
    <w:p>
      <w:pPr>
        <w:spacing w:line="360" w:lineRule="auto"/>
      </w:pPr>
      <w:r>
        <w:t>外匯儲備變動反映了政策成效與外部平衡。馬克里時期因外債與資本流入增加，外儲短暫回升至 600 億美元，但隨後因匯率防守與償債流失迅速下滑。費爾南德斯任內，進出口限制與能源進口成本上升導致外儲跌至 300 億美元。米雷伊上任後，削減能源補貼與放寬外資回流，外儲於 2025 年上半年回升至 450 億美元。儘管如此，阿根廷外匯供需仍極度敏感，出口集中於農礦產品，若國際價格下跌將再次削弱儲備穩定。</w:t>
      </w:r>
    </w:p>
    <w:p>
      <w:pPr>
        <w:pStyle w:val="Heading2"/>
      </w:pPr>
      <w:r>
        <w:t>3.4 社會分配與貧困衝擊</w:t>
      </w:r>
    </w:p>
    <w:p>
      <w:pPr>
        <w:spacing w:line="360" w:lineRule="auto"/>
      </w:pPr>
      <w:r>
        <w:t>在經濟改革中，社會層面的衝擊尤為顯著。馬克里政府削減補貼導致中低收入家庭支出上升，貧困率於 2019 年升至 35%。費爾南德斯執政期間，雖擴大社會轉移支出，但因通膨侵蝕實質購買力，貧困率於 2022 年達 42%。米雷伊的休克改革降低了通膨與赤字，但同時壓縮了工資與就業。2025 年貧困率仍維持在 40% 左右，顯示經濟穩定未能立即轉化為社會改善。就業結構也發生變化：非正式部門比例上升至 47%，反映結構性改革尚未普及至基層經濟活動。</w:t>
      </w:r>
    </w:p>
    <w:p>
      <w:pPr>
        <w:pStyle w:val="Heading2"/>
      </w:pPr>
      <w:r>
        <w:t>✳️ 第三章章末綜合評述</w:t>
      </w:r>
    </w:p>
    <w:p>
      <w:pPr>
        <w:spacing w:line="360" w:lineRule="auto"/>
      </w:pPr>
      <w:r>
        <w:t>整體而言，阿根廷在匯率與通膨治理上取得初步穩定，但代價是高失業與民生困難。馬克里的市場化復甦、費爾南德斯的干預穩定、以及米雷伊的休克療法各自對經濟造成短期修復與長期不確定。未來政策若要達到永續穩定，需在財政紀律、社會補償與產業升級間建立平衡，以避免再度陷入「穩定—衝擊—反轉」的惡性循環。</w:t>
      </w:r>
    </w:p>
    <w:p>
      <w:r>
        <w:br w:type="page"/>
      </w:r>
    </w:p>
    <w:p>
      <w:pPr>
        <w:pStyle w:val="Heading2"/>
      </w:pPr>
      <w:r>
        <w:t>表一　2015–2025 匯率、通膨與外儲變化</w:t>
      </w:r>
    </w:p>
    <w:tbl>
      <w:tblPr>
        <w:tblW w:type="auto" w:w="0"/>
        <w:tblLook w:firstColumn="1" w:firstRow="1" w:lastColumn="0" w:lastRow="0" w:noHBand="0" w:noVBand="1" w:val="04A0"/>
      </w:tblPr>
      <w:tblGrid>
        <w:gridCol w:w="2160"/>
        <w:gridCol w:w="2160"/>
        <w:gridCol w:w="2160"/>
        <w:gridCol w:w="2160"/>
      </w:tblGrid>
      <w:tr>
        <w:tc>
          <w:tcPr>
            <w:tcW w:type="dxa" w:w="2160"/>
          </w:tcPr>
          <w:p>
            <w:r>
              <w:t>年份</w:t>
            </w:r>
          </w:p>
        </w:tc>
        <w:tc>
          <w:tcPr>
            <w:tcW w:type="dxa" w:w="2160"/>
          </w:tcPr>
          <w:p>
            <w:r>
              <w:t>平均匯率（披索／美元）</w:t>
            </w:r>
          </w:p>
        </w:tc>
        <w:tc>
          <w:tcPr>
            <w:tcW w:type="dxa" w:w="2160"/>
          </w:tcPr>
          <w:p>
            <w:r>
              <w:t>通膨率（%）</w:t>
            </w:r>
          </w:p>
        </w:tc>
        <w:tc>
          <w:tcPr>
            <w:tcW w:type="dxa" w:w="2160"/>
          </w:tcPr>
          <w:p>
            <w:r>
              <w:t>外匯儲備（億美元）</w:t>
            </w:r>
          </w:p>
        </w:tc>
      </w:tr>
      <w:tr>
        <w:tc>
          <w:tcPr>
            <w:tcW w:type="dxa" w:w="2160"/>
          </w:tcPr>
          <w:p>
            <w:r>
              <w:t>2015</w:t>
            </w:r>
          </w:p>
        </w:tc>
        <w:tc>
          <w:tcPr>
            <w:tcW w:type="dxa" w:w="2160"/>
          </w:tcPr>
          <w:p>
            <w:r>
              <w:t>9.0</w:t>
            </w:r>
          </w:p>
        </w:tc>
        <w:tc>
          <w:tcPr>
            <w:tcW w:type="dxa" w:w="2160"/>
          </w:tcPr>
          <w:p>
            <w:r>
              <w:t>26</w:t>
            </w:r>
          </w:p>
        </w:tc>
        <w:tc>
          <w:tcPr>
            <w:tcW w:type="dxa" w:w="2160"/>
          </w:tcPr>
          <w:p>
            <w:r>
              <w:t>300</w:t>
            </w:r>
          </w:p>
        </w:tc>
      </w:tr>
      <w:tr>
        <w:tc>
          <w:tcPr>
            <w:tcW w:type="dxa" w:w="2160"/>
          </w:tcPr>
          <w:p>
            <w:r>
              <w:t>2018</w:t>
            </w:r>
          </w:p>
        </w:tc>
        <w:tc>
          <w:tcPr>
            <w:tcW w:type="dxa" w:w="2160"/>
          </w:tcPr>
          <w:p>
            <w:r>
              <w:t>28.1</w:t>
            </w:r>
          </w:p>
        </w:tc>
        <w:tc>
          <w:tcPr>
            <w:tcW w:type="dxa" w:w="2160"/>
          </w:tcPr>
          <w:p>
            <w:r>
              <w:t>47</w:t>
            </w:r>
          </w:p>
        </w:tc>
        <w:tc>
          <w:tcPr>
            <w:tcW w:type="dxa" w:w="2160"/>
          </w:tcPr>
          <w:p>
            <w:r>
              <w:t>550</w:t>
            </w:r>
          </w:p>
        </w:tc>
      </w:tr>
      <w:tr>
        <w:tc>
          <w:tcPr>
            <w:tcW w:type="dxa" w:w="2160"/>
          </w:tcPr>
          <w:p>
            <w:r>
              <w:t>2020</w:t>
            </w:r>
          </w:p>
        </w:tc>
        <w:tc>
          <w:tcPr>
            <w:tcW w:type="dxa" w:w="2160"/>
          </w:tcPr>
          <w:p>
            <w:r>
              <w:t>70.1</w:t>
            </w:r>
          </w:p>
        </w:tc>
        <w:tc>
          <w:tcPr>
            <w:tcW w:type="dxa" w:w="2160"/>
          </w:tcPr>
          <w:p>
            <w:r>
              <w:t>36</w:t>
            </w:r>
          </w:p>
        </w:tc>
        <w:tc>
          <w:tcPr>
            <w:tcW w:type="dxa" w:w="2160"/>
          </w:tcPr>
          <w:p>
            <w:r>
              <w:t>420</w:t>
            </w:r>
          </w:p>
        </w:tc>
      </w:tr>
      <w:tr>
        <w:tc>
          <w:tcPr>
            <w:tcW w:type="dxa" w:w="2160"/>
          </w:tcPr>
          <w:p>
            <w:r>
              <w:t>2022</w:t>
            </w:r>
          </w:p>
        </w:tc>
        <w:tc>
          <w:tcPr>
            <w:tcW w:type="dxa" w:w="2160"/>
          </w:tcPr>
          <w:p>
            <w:r>
              <w:t>150.0</w:t>
            </w:r>
          </w:p>
        </w:tc>
        <w:tc>
          <w:tcPr>
            <w:tcW w:type="dxa" w:w="2160"/>
          </w:tcPr>
          <w:p>
            <w:r>
              <w:t>94</w:t>
            </w:r>
          </w:p>
        </w:tc>
        <w:tc>
          <w:tcPr>
            <w:tcW w:type="dxa" w:w="2160"/>
          </w:tcPr>
          <w:p>
            <w:r>
              <w:t>300</w:t>
            </w:r>
          </w:p>
        </w:tc>
      </w:tr>
      <w:tr>
        <w:tc>
          <w:tcPr>
            <w:tcW w:type="dxa" w:w="2160"/>
          </w:tcPr>
          <w:p>
            <w:r>
              <w:t>2023</w:t>
            </w:r>
          </w:p>
        </w:tc>
        <w:tc>
          <w:tcPr>
            <w:tcW w:type="dxa" w:w="2160"/>
          </w:tcPr>
          <w:p>
            <w:r>
              <w:t>365.0</w:t>
            </w:r>
          </w:p>
        </w:tc>
        <w:tc>
          <w:tcPr>
            <w:tcW w:type="dxa" w:w="2160"/>
          </w:tcPr>
          <w:p>
            <w:r>
              <w:t>142</w:t>
            </w:r>
          </w:p>
        </w:tc>
        <w:tc>
          <w:tcPr>
            <w:tcW w:type="dxa" w:w="2160"/>
          </w:tcPr>
          <w:p>
            <w:r>
              <w:t>330</w:t>
            </w:r>
          </w:p>
        </w:tc>
      </w:tr>
      <w:tr>
        <w:tc>
          <w:tcPr>
            <w:tcW w:type="dxa" w:w="2160"/>
          </w:tcPr>
          <w:p>
            <w:r>
              <w:t>2024</w:t>
            </w:r>
          </w:p>
        </w:tc>
        <w:tc>
          <w:tcPr>
            <w:tcW w:type="dxa" w:w="2160"/>
          </w:tcPr>
          <w:p>
            <w:r>
              <w:t>800.0</w:t>
            </w:r>
          </w:p>
        </w:tc>
        <w:tc>
          <w:tcPr>
            <w:tcW w:type="dxa" w:w="2160"/>
          </w:tcPr>
          <w:p>
            <w:r>
              <w:t>50</w:t>
            </w:r>
          </w:p>
        </w:tc>
        <w:tc>
          <w:tcPr>
            <w:tcW w:type="dxa" w:w="2160"/>
          </w:tcPr>
          <w:p>
            <w:r>
              <w:t>410</w:t>
            </w:r>
          </w:p>
        </w:tc>
      </w:tr>
      <w:tr>
        <w:tc>
          <w:tcPr>
            <w:tcW w:type="dxa" w:w="2160"/>
          </w:tcPr>
          <w:p>
            <w:r>
              <w:t>2025（上半年）</w:t>
            </w:r>
          </w:p>
        </w:tc>
        <w:tc>
          <w:tcPr>
            <w:tcW w:type="dxa" w:w="2160"/>
          </w:tcPr>
          <w:p>
            <w:r>
              <w:t>850.0</w:t>
            </w:r>
          </w:p>
        </w:tc>
        <w:tc>
          <w:tcPr>
            <w:tcW w:type="dxa" w:w="2160"/>
          </w:tcPr>
          <w:p>
            <w:r>
              <w:t>30</w:t>
            </w:r>
          </w:p>
        </w:tc>
        <w:tc>
          <w:tcPr>
            <w:tcW w:type="dxa" w:w="2160"/>
          </w:tcPr>
          <w:p>
            <w:r>
              <w:t>450</w:t>
            </w:r>
          </w:p>
        </w:tc>
      </w:tr>
    </w:tbl>
    <w:p>
      <w:r>
        <w:br w:type="page"/>
      </w:r>
    </w:p>
    <w:p>
      <w:pPr>
        <w:pStyle w:val="Heading2"/>
      </w:pPr>
      <w:r>
        <w:t>表二　2015–2025 社會指標變化</w:t>
      </w:r>
    </w:p>
    <w:tbl>
      <w:tblPr>
        <w:tblW w:type="auto" w:w="0"/>
        <w:tblLook w:firstColumn="1" w:firstRow="1" w:lastColumn="0" w:lastRow="0" w:noHBand="0" w:noVBand="1" w:val="04A0"/>
      </w:tblPr>
      <w:tblGrid>
        <w:gridCol w:w="2160"/>
        <w:gridCol w:w="2160"/>
        <w:gridCol w:w="2160"/>
        <w:gridCol w:w="2160"/>
      </w:tblGrid>
      <w:tr>
        <w:tc>
          <w:tcPr>
            <w:tcW w:type="dxa" w:w="2160"/>
          </w:tcPr>
          <w:p>
            <w:r>
              <w:t>年份</w:t>
            </w:r>
          </w:p>
        </w:tc>
        <w:tc>
          <w:tcPr>
            <w:tcW w:type="dxa" w:w="2160"/>
          </w:tcPr>
          <w:p>
            <w:r>
              <w:t>失業率（%）</w:t>
            </w:r>
          </w:p>
        </w:tc>
        <w:tc>
          <w:tcPr>
            <w:tcW w:type="dxa" w:w="2160"/>
          </w:tcPr>
          <w:p>
            <w:r>
              <w:t>貧困率（%）</w:t>
            </w:r>
          </w:p>
        </w:tc>
        <w:tc>
          <w:tcPr>
            <w:tcW w:type="dxa" w:w="2160"/>
          </w:tcPr>
          <w:p>
            <w:r>
              <w:t>實質工資年變化（%）</w:t>
            </w:r>
          </w:p>
        </w:tc>
      </w:tr>
      <w:tr>
        <w:tc>
          <w:tcPr>
            <w:tcW w:type="dxa" w:w="2160"/>
          </w:tcPr>
          <w:p>
            <w:r>
              <w:t>2015</w:t>
            </w:r>
          </w:p>
        </w:tc>
        <w:tc>
          <w:tcPr>
            <w:tcW w:type="dxa" w:w="2160"/>
          </w:tcPr>
          <w:p>
            <w:r>
              <w:t>7.0</w:t>
            </w:r>
          </w:p>
        </w:tc>
        <w:tc>
          <w:tcPr>
            <w:tcW w:type="dxa" w:w="2160"/>
          </w:tcPr>
          <w:p>
            <w:r>
              <w:t>29</w:t>
            </w:r>
          </w:p>
        </w:tc>
        <w:tc>
          <w:tcPr>
            <w:tcW w:type="dxa" w:w="2160"/>
          </w:tcPr>
          <w:p>
            <w:r>
              <w:t>2</w:t>
            </w:r>
          </w:p>
        </w:tc>
      </w:tr>
      <w:tr>
        <w:tc>
          <w:tcPr>
            <w:tcW w:type="dxa" w:w="2160"/>
          </w:tcPr>
          <w:p>
            <w:r>
              <w:t>2018</w:t>
            </w:r>
          </w:p>
        </w:tc>
        <w:tc>
          <w:tcPr>
            <w:tcW w:type="dxa" w:w="2160"/>
          </w:tcPr>
          <w:p>
            <w:r>
              <w:t>9.5</w:t>
            </w:r>
          </w:p>
        </w:tc>
        <w:tc>
          <w:tcPr>
            <w:tcW w:type="dxa" w:w="2160"/>
          </w:tcPr>
          <w:p>
            <w:r>
              <w:t>32</w:t>
            </w:r>
          </w:p>
        </w:tc>
        <w:tc>
          <w:tcPr>
            <w:tcW w:type="dxa" w:w="2160"/>
          </w:tcPr>
          <w:p>
            <w:r>
              <w:t>-3</w:t>
            </w:r>
          </w:p>
        </w:tc>
      </w:tr>
      <w:tr>
        <w:tc>
          <w:tcPr>
            <w:tcW w:type="dxa" w:w="2160"/>
          </w:tcPr>
          <w:p>
            <w:r>
              <w:t>2020</w:t>
            </w:r>
          </w:p>
        </w:tc>
        <w:tc>
          <w:tcPr>
            <w:tcW w:type="dxa" w:w="2160"/>
          </w:tcPr>
          <w:p>
            <w:r>
              <w:t>10.8</w:t>
            </w:r>
          </w:p>
        </w:tc>
        <w:tc>
          <w:tcPr>
            <w:tcW w:type="dxa" w:w="2160"/>
          </w:tcPr>
          <w:p>
            <w:r>
              <w:t>38</w:t>
            </w:r>
          </w:p>
        </w:tc>
        <w:tc>
          <w:tcPr>
            <w:tcW w:type="dxa" w:w="2160"/>
          </w:tcPr>
          <w:p>
            <w:r>
              <w:t>-7</w:t>
            </w:r>
          </w:p>
        </w:tc>
      </w:tr>
      <w:tr>
        <w:tc>
          <w:tcPr>
            <w:tcW w:type="dxa" w:w="2160"/>
          </w:tcPr>
          <w:p>
            <w:r>
              <w:t>2022</w:t>
            </w:r>
          </w:p>
        </w:tc>
        <w:tc>
          <w:tcPr>
            <w:tcW w:type="dxa" w:w="2160"/>
          </w:tcPr>
          <w:p>
            <w:r>
              <w:t>8.5</w:t>
            </w:r>
          </w:p>
        </w:tc>
        <w:tc>
          <w:tcPr>
            <w:tcW w:type="dxa" w:w="2160"/>
          </w:tcPr>
          <w:p>
            <w:r>
              <w:t>42</w:t>
            </w:r>
          </w:p>
        </w:tc>
        <w:tc>
          <w:tcPr>
            <w:tcW w:type="dxa" w:w="2160"/>
          </w:tcPr>
          <w:p>
            <w:r>
              <w:t>-10</w:t>
            </w:r>
          </w:p>
        </w:tc>
      </w:tr>
      <w:tr>
        <w:tc>
          <w:tcPr>
            <w:tcW w:type="dxa" w:w="2160"/>
          </w:tcPr>
          <w:p>
            <w:r>
              <w:t>2023</w:t>
            </w:r>
          </w:p>
        </w:tc>
        <w:tc>
          <w:tcPr>
            <w:tcW w:type="dxa" w:w="2160"/>
          </w:tcPr>
          <w:p>
            <w:r>
              <w:t>9.2</w:t>
            </w:r>
          </w:p>
        </w:tc>
        <w:tc>
          <w:tcPr>
            <w:tcW w:type="dxa" w:w="2160"/>
          </w:tcPr>
          <w:p>
            <w:r>
              <w:t>41</w:t>
            </w:r>
          </w:p>
        </w:tc>
        <w:tc>
          <w:tcPr>
            <w:tcW w:type="dxa" w:w="2160"/>
          </w:tcPr>
          <w:p>
            <w:r>
              <w:t>-5</w:t>
            </w:r>
          </w:p>
        </w:tc>
      </w:tr>
      <w:tr>
        <w:tc>
          <w:tcPr>
            <w:tcW w:type="dxa" w:w="2160"/>
          </w:tcPr>
          <w:p>
            <w:r>
              <w:t>2024</w:t>
            </w:r>
          </w:p>
        </w:tc>
        <w:tc>
          <w:tcPr>
            <w:tcW w:type="dxa" w:w="2160"/>
          </w:tcPr>
          <w:p>
            <w:r>
              <w:t>10.1</w:t>
            </w:r>
          </w:p>
        </w:tc>
        <w:tc>
          <w:tcPr>
            <w:tcW w:type="dxa" w:w="2160"/>
          </w:tcPr>
          <w:p>
            <w:r>
              <w:t>43</w:t>
            </w:r>
          </w:p>
        </w:tc>
        <w:tc>
          <w:tcPr>
            <w:tcW w:type="dxa" w:w="2160"/>
          </w:tcPr>
          <w:p>
            <w:r>
              <w:t>-2</w:t>
            </w:r>
          </w:p>
        </w:tc>
      </w:tr>
      <w:tr>
        <w:tc>
          <w:tcPr>
            <w:tcW w:type="dxa" w:w="2160"/>
          </w:tcPr>
          <w:p>
            <w:r>
              <w:t>2025（預估）</w:t>
            </w:r>
          </w:p>
        </w:tc>
        <w:tc>
          <w:tcPr>
            <w:tcW w:type="dxa" w:w="2160"/>
          </w:tcPr>
          <w:p>
            <w:r>
              <w:t>9.5</w:t>
            </w:r>
          </w:p>
        </w:tc>
        <w:tc>
          <w:tcPr>
            <w:tcW w:type="dxa" w:w="2160"/>
          </w:tcPr>
          <w:p>
            <w:r>
              <w:t>40</w:t>
            </w:r>
          </w:p>
        </w:tc>
        <w:tc>
          <w:tcPr>
            <w:tcW w:type="dxa" w:w="216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